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0A9A3">
      <w:pPr>
        <w:spacing w:line="360" w:lineRule="auto"/>
        <w:jc w:val="center"/>
        <w:rPr>
          <w:rFonts w:ascii="宋体" w:hAnsi="宋体" w:cs="宋体"/>
          <w:b/>
          <w:bCs/>
          <w:sz w:val="32"/>
          <w:szCs w:val="32"/>
        </w:rPr>
      </w:pPr>
      <w:r>
        <w:rPr>
          <w:rFonts w:hint="eastAsia" w:ascii="宋体" w:hAnsi="宋体" w:cs="宋体"/>
          <w:b/>
          <w:bCs/>
          <w:sz w:val="32"/>
          <w:szCs w:val="32"/>
        </w:rPr>
        <w:t>采购需求</w:t>
      </w:r>
    </w:p>
    <w:p w14:paraId="21CAE32C">
      <w:pPr>
        <w:pStyle w:val="4"/>
        <w:spacing w:beforeAutospacing="0" w:afterAutospacing="0" w:line="0" w:lineRule="atLeast"/>
        <w:jc w:val="both"/>
      </w:pPr>
      <w:r>
        <w:rPr>
          <w:rFonts w:hint="eastAsia"/>
        </w:rPr>
        <w:t>项目属性：服务类项目</w:t>
      </w:r>
    </w:p>
    <w:p w14:paraId="0C3702D8">
      <w:pPr>
        <w:spacing w:line="360" w:lineRule="auto"/>
        <w:ind w:firstLine="482" w:firstLineChars="200"/>
        <w:textAlignment w:val="baseline"/>
        <w:rPr>
          <w:b/>
          <w:bCs/>
          <w:sz w:val="24"/>
          <w:shd w:val="clear" w:color="auto" w:fill="FFFFFF"/>
        </w:rPr>
      </w:pPr>
      <w:r>
        <w:rPr>
          <w:rFonts w:hint="eastAsia"/>
          <w:b/>
          <w:bCs/>
          <w:sz w:val="24"/>
          <w:shd w:val="clear" w:color="auto" w:fill="FFFFFF"/>
        </w:rPr>
        <w:t>一、项目背景</w:t>
      </w:r>
    </w:p>
    <w:p w14:paraId="6DAFC34E">
      <w:pPr>
        <w:spacing w:line="360" w:lineRule="auto"/>
        <w:ind w:firstLine="480" w:firstLineChars="200"/>
        <w:rPr>
          <w:kern w:val="2"/>
          <w:sz w:val="24"/>
          <w:shd w:val="clear" w:color="auto" w:fill="FFFFFF"/>
        </w:rPr>
      </w:pPr>
      <w:r>
        <w:rPr>
          <w:rFonts w:hint="eastAsia"/>
          <w:kern w:val="2"/>
          <w:sz w:val="24"/>
          <w:shd w:val="clear" w:color="auto" w:fill="FFFFFF"/>
        </w:rPr>
        <w:t>中共中央、国务院连续多年发布中央一号文件等政策文件，对新阶段优先发展农业农村、保障居民住房、全面推进乡村振兴作出总体部署，为做好当前和今后“三农”工作指明了方向。</w:t>
      </w:r>
      <w:r>
        <w:rPr>
          <w:kern w:val="2"/>
          <w:sz w:val="24"/>
          <w:shd w:val="clear" w:color="auto" w:fill="FFFFFF"/>
        </w:rPr>
        <w:t>2022年5月中共中央办公厅国务院办公厅印发《乡村建设行动实施方案》，确保乡村振兴战略的落实落地。党的二十大报告指出：全面建设社会主义现代化国家，最艰巨最繁重的任务仍然在农村。提出坚持农业农村优先发展，坚持城乡融合发展，畅通城乡要素流动。加快建设农业强国，扎实推动乡村产业、人才、文化、生态、组织振兴。2023年2月13日，21世纪以来第20个指导“三农”工作</w:t>
      </w:r>
      <w:r>
        <w:rPr>
          <w:rFonts w:hint="eastAsia"/>
          <w:kern w:val="2"/>
          <w:sz w:val="24"/>
          <w:shd w:val="clear" w:color="auto" w:fill="FFFFFF"/>
        </w:rPr>
        <w:t>的中央一号文件发布，文件通过九方面部署全面推进乡村振兴，迈向农业农村现代化。</w:t>
      </w:r>
    </w:p>
    <w:p w14:paraId="7A1A1E0E">
      <w:pPr>
        <w:spacing w:line="360" w:lineRule="auto"/>
        <w:ind w:firstLine="480" w:firstLineChars="200"/>
        <w:rPr>
          <w:kern w:val="2"/>
          <w:sz w:val="24"/>
          <w:shd w:val="clear" w:color="auto" w:fill="FFFFFF"/>
        </w:rPr>
      </w:pPr>
      <w:r>
        <w:rPr>
          <w:rFonts w:hint="eastAsia"/>
          <w:kern w:val="2"/>
          <w:sz w:val="24"/>
          <w:shd w:val="clear" w:color="auto" w:fill="FFFFFF"/>
        </w:rPr>
        <w:t>农民住房是乡村振兴战略的重要组成部分，也是农民幸福生活的基石。推动乡村振兴，良好住房保障是关键。改善苏北农民群众住房条件，补齐苏北农村住房短板，是省委省政府推动乡村振兴的一个标志性工程。近年来，盐城经济技术开发区坚持把住房改善作为推动乡村振兴的重要工程系统推进，高质量、高标准抓好安置房建设，让更多农民告别“旧农房”，</w:t>
      </w:r>
      <w:r>
        <w:rPr>
          <w:kern w:val="2"/>
          <w:sz w:val="24"/>
          <w:shd w:val="clear" w:color="auto" w:fill="FFFFFF"/>
        </w:rPr>
        <w:t>切实改善农民住房条件</w:t>
      </w:r>
      <w:r>
        <w:rPr>
          <w:rFonts w:hint="eastAsia"/>
          <w:kern w:val="2"/>
          <w:sz w:val="24"/>
          <w:shd w:val="clear" w:color="auto" w:fill="FFFFFF"/>
        </w:rPr>
        <w:t>，</w:t>
      </w:r>
      <w:r>
        <w:rPr>
          <w:kern w:val="2"/>
          <w:sz w:val="24"/>
          <w:shd w:val="clear" w:color="auto" w:fill="FFFFFF"/>
        </w:rPr>
        <w:t>全力推</w:t>
      </w:r>
      <w:bookmarkStart w:id="1" w:name="_GoBack"/>
      <w:bookmarkEnd w:id="1"/>
      <w:r>
        <w:rPr>
          <w:kern w:val="2"/>
          <w:sz w:val="24"/>
          <w:shd w:val="clear" w:color="auto" w:fill="FFFFFF"/>
        </w:rPr>
        <w:t>进</w:t>
      </w:r>
      <w:r>
        <w:rPr>
          <w:rFonts w:hint="eastAsia"/>
          <w:kern w:val="2"/>
          <w:sz w:val="24"/>
          <w:shd w:val="clear" w:color="auto" w:fill="FFFFFF"/>
        </w:rPr>
        <w:t>住房</w:t>
      </w:r>
      <w:r>
        <w:rPr>
          <w:kern w:val="2"/>
          <w:sz w:val="24"/>
          <w:shd w:val="clear" w:color="auto" w:fill="FFFFFF"/>
        </w:rPr>
        <w:t>改善工作</w:t>
      </w:r>
      <w:r>
        <w:rPr>
          <w:rFonts w:hint="eastAsia"/>
          <w:kern w:val="2"/>
          <w:sz w:val="24"/>
          <w:shd w:val="clear" w:color="auto" w:fill="FFFFFF"/>
        </w:rPr>
        <w:t>，</w:t>
      </w:r>
      <w:r>
        <w:rPr>
          <w:kern w:val="2"/>
          <w:sz w:val="24"/>
          <w:shd w:val="clear" w:color="auto" w:fill="FFFFFF"/>
        </w:rPr>
        <w:t>不断增强群众的幸福感和获得感。</w:t>
      </w:r>
    </w:p>
    <w:p w14:paraId="0CF3CC5F">
      <w:pPr>
        <w:spacing w:line="360" w:lineRule="auto"/>
        <w:ind w:firstLine="480" w:firstLineChars="200"/>
        <w:rPr>
          <w:szCs w:val="28"/>
        </w:rPr>
      </w:pPr>
      <w:r>
        <w:rPr>
          <w:rFonts w:hint="eastAsia"/>
          <w:kern w:val="2"/>
          <w:sz w:val="24"/>
          <w:shd w:val="clear" w:color="auto" w:fill="FFFFFF"/>
        </w:rPr>
        <w:t>改善农民住房条件，根本目的在于让群众住得好过得好。对此，盐城经济技术开发区充分尊重农民意愿，坚持高起点规划、高质量建设、高标准配套，拟在开发区步凤镇兆顺村、板土村、袁坎村、清恩村、王姚村、烈士村、前途村、安龙村、伍龙村、新洼村、友权村等进行农房改善。深入实施乡村振兴战略，推动美丽宜居乡村建设，促进城乡融合发展，紧密结合脱贫攻坚工作，加快改善开发区步凤镇农民群众住房条件，积极引导农民群众按城镇化规律集中居住，彻底改善农村人居环境，优化城乡空间布局，提升公共服务水平，让农民群众过上与城市同步发展的现代生活，为推动开发区步凤镇高质量发展率先奔小康奠定基础。</w:t>
      </w:r>
    </w:p>
    <w:p w14:paraId="2EFBDCFC">
      <w:pPr>
        <w:spacing w:line="360" w:lineRule="auto"/>
        <w:ind w:firstLine="482" w:firstLineChars="200"/>
        <w:textAlignment w:val="baseline"/>
        <w:rPr>
          <w:b/>
          <w:bCs/>
          <w:sz w:val="24"/>
          <w:shd w:val="clear" w:color="auto" w:fill="FFFFFF"/>
        </w:rPr>
      </w:pPr>
      <w:r>
        <w:rPr>
          <w:rFonts w:hint="eastAsia"/>
          <w:b/>
          <w:bCs/>
          <w:sz w:val="24"/>
          <w:shd w:val="clear" w:color="auto" w:fill="FFFFFF"/>
        </w:rPr>
        <w:t>二、项目概述</w:t>
      </w:r>
    </w:p>
    <w:p w14:paraId="688F0159">
      <w:pPr>
        <w:shd w:val="clear" w:color="auto" w:fill="FFFFFF"/>
        <w:spacing w:line="360" w:lineRule="auto"/>
        <w:ind w:firstLine="480" w:firstLineChars="200"/>
        <w:rPr>
          <w:b/>
          <w:bCs/>
          <w:sz w:val="44"/>
          <w:szCs w:val="44"/>
        </w:rPr>
      </w:pPr>
      <w:r>
        <w:rPr>
          <w:rFonts w:hint="eastAsia"/>
          <w:sz w:val="24"/>
          <w:shd w:val="clear" w:color="auto" w:fill="FFFFFF"/>
        </w:rPr>
        <w:t>1、项目名称：盐城经济技术开发区步凤镇2024年改善农民群众住房条件项目</w:t>
      </w:r>
    </w:p>
    <w:p w14:paraId="5AF1D4F2">
      <w:pPr>
        <w:spacing w:line="360" w:lineRule="auto"/>
        <w:ind w:firstLine="480" w:firstLineChars="200"/>
        <w:rPr>
          <w:sz w:val="24"/>
          <w:shd w:val="clear" w:color="auto" w:fill="FFFFFF"/>
        </w:rPr>
      </w:pPr>
      <w:r>
        <w:rPr>
          <w:rFonts w:hint="eastAsia"/>
          <w:sz w:val="24"/>
          <w:shd w:val="clear" w:color="auto" w:fill="FFFFFF"/>
        </w:rPr>
        <w:t>2、采购需求：项目涉及11</w:t>
      </w:r>
      <w:r>
        <w:rPr>
          <w:sz w:val="24"/>
          <w:shd w:val="clear" w:color="auto" w:fill="FFFFFF"/>
        </w:rPr>
        <w:t>个</w:t>
      </w:r>
      <w:r>
        <w:rPr>
          <w:rFonts w:hint="eastAsia"/>
          <w:sz w:val="24"/>
          <w:shd w:val="clear" w:color="auto" w:fill="FFFFFF"/>
        </w:rPr>
        <w:t>村</w:t>
      </w:r>
      <w:r>
        <w:rPr>
          <w:sz w:val="24"/>
          <w:shd w:val="clear" w:color="auto" w:fill="FFFFFF"/>
        </w:rPr>
        <w:t>，</w:t>
      </w:r>
      <w:r>
        <w:rPr>
          <w:rFonts w:hint="eastAsia"/>
          <w:sz w:val="24"/>
          <w:shd w:val="clear" w:color="auto" w:fill="FFFFFF"/>
        </w:rPr>
        <w:t>改善农民群众住房条件3116</w:t>
      </w:r>
      <w:r>
        <w:rPr>
          <w:sz w:val="24"/>
          <w:shd w:val="clear" w:color="auto" w:fill="FFFFFF"/>
        </w:rPr>
        <w:t>户；</w:t>
      </w:r>
      <w:r>
        <w:rPr>
          <w:rFonts w:hint="eastAsia"/>
          <w:sz w:val="24"/>
          <w:shd w:val="clear" w:color="auto" w:fill="FFFFFF"/>
        </w:rPr>
        <w:t>改善住房面积约34.2236万</w:t>
      </w:r>
      <w:r>
        <w:rPr>
          <w:sz w:val="24"/>
          <w:shd w:val="clear" w:color="auto" w:fill="FFFFFF"/>
        </w:rPr>
        <w:t>平方米，其中：土地综合整治</w:t>
      </w:r>
      <w:r>
        <w:rPr>
          <w:rFonts w:hint="eastAsia"/>
          <w:sz w:val="24"/>
          <w:shd w:val="clear" w:color="auto" w:fill="FFFFFF"/>
        </w:rPr>
        <w:t>2000</w:t>
      </w:r>
      <w:r>
        <w:rPr>
          <w:sz w:val="24"/>
          <w:shd w:val="clear" w:color="auto" w:fill="FFFFFF"/>
        </w:rPr>
        <w:t>亩，新增耕地面积</w:t>
      </w:r>
      <w:r>
        <w:rPr>
          <w:rFonts w:hint="eastAsia"/>
          <w:sz w:val="24"/>
          <w:shd w:val="clear" w:color="auto" w:fill="FFFFFF"/>
        </w:rPr>
        <w:t>2000</w:t>
      </w:r>
      <w:r>
        <w:rPr>
          <w:sz w:val="24"/>
          <w:shd w:val="clear" w:color="auto" w:fill="FFFFFF"/>
        </w:rPr>
        <w:t>亩。</w:t>
      </w:r>
      <w:r>
        <w:rPr>
          <w:rFonts w:hint="eastAsia"/>
          <w:sz w:val="24"/>
          <w:shd w:val="clear" w:color="auto" w:fill="FFFFFF"/>
        </w:rPr>
        <w:t>盐城经济技术开发区充分尊重农民意愿，坚持高起点规划、高质量建设、高标准配套，拟在开发区步凤镇兆顺村、板土村、袁坎村、清恩村、王姚村、烈士村、前途村、安龙村、伍龙村、新洼村、友权村等进行农房改善。</w:t>
      </w:r>
    </w:p>
    <w:p w14:paraId="2C8D40AD">
      <w:pPr>
        <w:spacing w:line="360" w:lineRule="auto"/>
        <w:ind w:firstLine="482" w:firstLineChars="200"/>
        <w:rPr>
          <w:b/>
          <w:bCs/>
          <w:sz w:val="24"/>
          <w:shd w:val="clear" w:color="auto" w:fill="FFFFFF"/>
        </w:rPr>
      </w:pPr>
      <w:r>
        <w:rPr>
          <w:rFonts w:hint="eastAsia"/>
          <w:b/>
          <w:bCs/>
          <w:sz w:val="24"/>
          <w:shd w:val="clear" w:color="auto" w:fill="FFFFFF"/>
        </w:rPr>
        <w:t>本项目前期费用须中标单位垫付，项目实施过程中所有事宜须由中标单位自行协调解决。</w:t>
      </w:r>
    </w:p>
    <w:p w14:paraId="19D7DC58">
      <w:pPr>
        <w:spacing w:line="360" w:lineRule="auto"/>
        <w:ind w:firstLine="480" w:firstLineChars="200"/>
        <w:textAlignment w:val="baseline"/>
        <w:rPr>
          <w:sz w:val="24"/>
          <w:shd w:val="clear" w:color="auto" w:fill="FFFFFF"/>
        </w:rPr>
      </w:pPr>
      <w:r>
        <w:rPr>
          <w:rFonts w:hint="eastAsia"/>
          <w:sz w:val="24"/>
          <w:shd w:val="clear" w:color="auto" w:fill="FFFFFF"/>
        </w:rPr>
        <w:t>采购资金为财政资金，已落实。</w:t>
      </w:r>
    </w:p>
    <w:p w14:paraId="52264EB7">
      <w:pPr>
        <w:spacing w:line="360" w:lineRule="auto"/>
        <w:ind w:firstLine="480" w:firstLineChars="200"/>
        <w:textAlignment w:val="baseline"/>
        <w:rPr>
          <w:sz w:val="24"/>
          <w:shd w:val="clear" w:color="auto" w:fill="FFFFFF"/>
        </w:rPr>
      </w:pPr>
      <w:r>
        <w:rPr>
          <w:rFonts w:hint="eastAsia"/>
          <w:sz w:val="24"/>
          <w:shd w:val="clear" w:color="auto" w:fill="FFFFFF"/>
        </w:rPr>
        <w:t>3、项目地点：本项目位于开发区步凤镇兆顺村、板土村、袁坎村、清恩村、王姚村、烈士村、前途村、安龙村、伍龙村、新洼村、友权村等11个村。</w:t>
      </w:r>
    </w:p>
    <w:p w14:paraId="4F4C6F9C">
      <w:pPr>
        <w:spacing w:line="360" w:lineRule="auto"/>
        <w:ind w:firstLine="480" w:firstLineChars="200"/>
        <w:textAlignment w:val="baseline"/>
        <w:rPr>
          <w:sz w:val="24"/>
          <w:shd w:val="clear" w:color="auto" w:fill="FFFFFF"/>
        </w:rPr>
      </w:pPr>
      <w:r>
        <w:rPr>
          <w:rFonts w:hint="eastAsia"/>
          <w:sz w:val="24"/>
          <w:shd w:val="clear" w:color="auto" w:fill="FFFFFF"/>
        </w:rPr>
        <w:t>4、合同履行期限：自合同生效之日起12个月。</w:t>
      </w:r>
    </w:p>
    <w:p w14:paraId="48BF870B">
      <w:pPr>
        <w:widowControl/>
        <w:spacing w:line="360" w:lineRule="auto"/>
        <w:ind w:firstLine="480" w:firstLineChars="200"/>
        <w:jc w:val="left"/>
        <w:rPr>
          <w:rFonts w:asciiTheme="minorEastAsia" w:hAnsiTheme="minorEastAsia" w:eastAsiaTheme="minorEastAsia"/>
          <w:sz w:val="24"/>
          <w:shd w:val="clear" w:color="auto" w:fill="FFFFFF"/>
        </w:rPr>
      </w:pPr>
      <w:r>
        <w:rPr>
          <w:rFonts w:hint="eastAsia"/>
          <w:sz w:val="24"/>
          <w:shd w:val="clear" w:color="auto" w:fill="FFFFFF"/>
        </w:rPr>
        <w:t>5、项目</w:t>
      </w:r>
      <w:r>
        <w:rPr>
          <w:rFonts w:hint="eastAsia" w:asciiTheme="minorEastAsia" w:hAnsiTheme="minorEastAsia" w:eastAsiaTheme="minorEastAsia"/>
          <w:sz w:val="24"/>
          <w:shd w:val="clear" w:color="auto" w:fill="FFFFFF"/>
        </w:rPr>
        <w:t>预算：</w:t>
      </w:r>
      <w:bookmarkStart w:id="0" w:name="_Toc149047553"/>
      <w:r>
        <w:rPr>
          <w:rFonts w:asciiTheme="minorEastAsia" w:hAnsiTheme="minorEastAsia" w:eastAsiaTheme="minorEastAsia"/>
          <w:sz w:val="24"/>
          <w:shd w:val="clear" w:color="auto" w:fill="FFFFFF"/>
        </w:rPr>
        <w:t>95742.0</w:t>
      </w:r>
      <w:r>
        <w:rPr>
          <w:rFonts w:hint="eastAsia" w:asciiTheme="minorEastAsia" w:hAnsiTheme="minorEastAsia" w:eastAsiaTheme="minorEastAsia"/>
          <w:sz w:val="24"/>
          <w:shd w:val="clear" w:color="auto" w:fill="FFFFFF"/>
        </w:rPr>
        <w:t>万元，超过预算价为无效报价，搬迁补偿费包括宅基补偿、拆除补偿、进城入镇购房补贴及购房奖励和优惠等费用，对于四类对象户按照相应标准和条件，其补偿不足部分，由镇财政托底。由具有相应资质的房地产价格评估机构按照房屋征收评估办法以及土地征用相关规定说明评估确定。</w:t>
      </w:r>
      <w:r>
        <w:rPr>
          <w:rFonts w:hint="eastAsia" w:asciiTheme="minorEastAsia" w:hAnsiTheme="minorEastAsia" w:eastAsiaTheme="minorEastAsia"/>
          <w:b/>
          <w:bCs/>
          <w:sz w:val="24"/>
        </w:rPr>
        <w:t>搬迁补偿总费用为：80124.10万元（该费用为固定价格、不可竞争费用，投标人不得改变此价格，否则按无效标处理），后期根据项目实施和拆迁补偿政策上下浮动，结算时以实际支出为准</w:t>
      </w:r>
      <w:r>
        <w:rPr>
          <w:rFonts w:hint="eastAsia" w:asciiTheme="minorEastAsia" w:hAnsiTheme="minorEastAsia" w:eastAsiaTheme="minorEastAsia"/>
          <w:b/>
          <w:bCs/>
          <w:sz w:val="24"/>
          <w:shd w:val="clear" w:color="auto" w:fill="FFFFFF"/>
        </w:rPr>
        <w:t>。</w:t>
      </w:r>
    </w:p>
    <w:p w14:paraId="190DB5BB">
      <w:pPr>
        <w:spacing w:line="360" w:lineRule="auto"/>
        <w:ind w:firstLine="482" w:firstLineChars="200"/>
        <w:textAlignment w:val="baseline"/>
        <w:rPr>
          <w:b/>
          <w:bCs/>
          <w:sz w:val="24"/>
          <w:shd w:val="clear" w:color="auto" w:fill="FFFFFF"/>
        </w:rPr>
      </w:pPr>
      <w:r>
        <w:rPr>
          <w:rFonts w:hint="eastAsia"/>
          <w:b/>
          <w:bCs/>
          <w:sz w:val="24"/>
          <w:shd w:val="clear" w:color="auto" w:fill="FFFFFF"/>
        </w:rPr>
        <w:t>三、</w:t>
      </w:r>
      <w:bookmarkEnd w:id="0"/>
      <w:r>
        <w:rPr>
          <w:rFonts w:hint="eastAsia"/>
          <w:b/>
          <w:bCs/>
          <w:sz w:val="24"/>
          <w:shd w:val="clear" w:color="auto" w:fill="FFFFFF"/>
        </w:rPr>
        <w:t>建设项目标准及要求</w:t>
      </w:r>
    </w:p>
    <w:p w14:paraId="5E37AFEA">
      <w:pPr>
        <w:spacing w:line="360" w:lineRule="auto"/>
        <w:ind w:firstLine="480" w:firstLineChars="200"/>
        <w:textAlignment w:val="baseline"/>
        <w:rPr>
          <w:sz w:val="24"/>
          <w:shd w:val="clear" w:color="auto" w:fill="FFFFFF"/>
        </w:rPr>
      </w:pPr>
      <w:r>
        <w:rPr>
          <w:rFonts w:hint="eastAsia"/>
          <w:sz w:val="24"/>
          <w:shd w:val="clear" w:color="auto" w:fill="FFFFFF"/>
        </w:rPr>
        <w:t>1、搬迁房屋认定及要求</w:t>
      </w:r>
    </w:p>
    <w:p w14:paraId="1DDDE901">
      <w:pPr>
        <w:spacing w:line="360" w:lineRule="auto"/>
        <w:ind w:firstLine="480" w:firstLineChars="200"/>
        <w:rPr>
          <w:sz w:val="24"/>
          <w:shd w:val="clear" w:color="auto" w:fill="FFFFFF"/>
        </w:rPr>
      </w:pPr>
      <w:r>
        <w:rPr>
          <w:rFonts w:hint="eastAsia"/>
          <w:sz w:val="24"/>
          <w:shd w:val="clear" w:color="auto" w:fill="FFFFFF"/>
        </w:rPr>
        <w:t>以《集体土地使用证》和《房屋所有权证》的记载为准，两证不全的，以建房报告或有关部门核定的面积为准。《土地管理法》实施前的建房按有关规定执行。</w:t>
      </w:r>
    </w:p>
    <w:p w14:paraId="61893FFF">
      <w:pPr>
        <w:spacing w:line="360" w:lineRule="auto"/>
        <w:ind w:firstLine="480" w:firstLineChars="200"/>
        <w:rPr>
          <w:sz w:val="24"/>
          <w:shd w:val="clear" w:color="auto" w:fill="FFFFFF"/>
        </w:rPr>
      </w:pPr>
      <w:r>
        <w:rPr>
          <w:rFonts w:hint="eastAsia"/>
          <w:sz w:val="24"/>
          <w:shd w:val="clear" w:color="auto" w:fill="FFFFFF"/>
        </w:rPr>
        <w:t xml:space="preserve">2、搬迁安置基本原则 </w:t>
      </w:r>
    </w:p>
    <w:p w14:paraId="6447B7E9">
      <w:pPr>
        <w:spacing w:line="360" w:lineRule="auto"/>
        <w:ind w:firstLine="480" w:firstLineChars="200"/>
        <w:rPr>
          <w:sz w:val="24"/>
          <w:shd w:val="clear" w:color="auto" w:fill="FFFFFF"/>
        </w:rPr>
      </w:pPr>
      <w:r>
        <w:rPr>
          <w:rFonts w:hint="eastAsia"/>
          <w:sz w:val="24"/>
          <w:shd w:val="clear" w:color="auto" w:fill="FFFFFF"/>
        </w:rPr>
        <w:t xml:space="preserve">（1）节约集约用地原则。搬迁户不在项目区内安排宅基地建设进行安置，采用集中安置的形式，提高土地利用率。 </w:t>
      </w:r>
    </w:p>
    <w:p w14:paraId="406B6DD8">
      <w:pPr>
        <w:spacing w:line="360" w:lineRule="auto"/>
        <w:ind w:firstLine="480" w:firstLineChars="200"/>
        <w:rPr>
          <w:sz w:val="24"/>
          <w:shd w:val="clear" w:color="auto" w:fill="FFFFFF"/>
        </w:rPr>
      </w:pPr>
      <w:r>
        <w:rPr>
          <w:rFonts w:hint="eastAsia"/>
          <w:sz w:val="24"/>
          <w:shd w:val="clear" w:color="auto" w:fill="FFFFFF"/>
        </w:rPr>
        <w:t xml:space="preserve">（2）鼓励集中居住原则。搬迁安置点统一集中到集镇或中心村安置。 </w:t>
      </w:r>
    </w:p>
    <w:p w14:paraId="4645ABF7">
      <w:pPr>
        <w:spacing w:line="360" w:lineRule="auto"/>
        <w:ind w:firstLine="480" w:firstLineChars="200"/>
        <w:rPr>
          <w:sz w:val="24"/>
          <w:shd w:val="clear" w:color="auto" w:fill="FFFFFF"/>
        </w:rPr>
      </w:pPr>
      <w:r>
        <w:rPr>
          <w:rFonts w:hint="eastAsia"/>
          <w:sz w:val="24"/>
          <w:shd w:val="clear" w:color="auto" w:fill="FFFFFF"/>
        </w:rPr>
        <w:t>（3）保障项目区内农民原有生活水平不降低原则，切实维护项目区内农民权益。</w:t>
      </w:r>
    </w:p>
    <w:p w14:paraId="7CDD4E20">
      <w:pPr>
        <w:spacing w:line="360" w:lineRule="auto"/>
        <w:ind w:firstLine="480" w:firstLineChars="200"/>
        <w:rPr>
          <w:kern w:val="2"/>
          <w:sz w:val="24"/>
          <w:shd w:val="clear" w:color="auto" w:fill="FFFFFF"/>
        </w:rPr>
      </w:pPr>
      <w:r>
        <w:rPr>
          <w:rFonts w:hint="eastAsia"/>
          <w:kern w:val="2"/>
          <w:sz w:val="24"/>
          <w:shd w:val="clear" w:color="auto" w:fill="FFFFFF"/>
        </w:rPr>
        <w:t xml:space="preserve">3、搬迁补偿费用 </w:t>
      </w:r>
    </w:p>
    <w:p w14:paraId="71A9968E">
      <w:pPr>
        <w:spacing w:line="360" w:lineRule="auto"/>
        <w:ind w:firstLine="480" w:firstLineChars="200"/>
        <w:rPr>
          <w:sz w:val="24"/>
          <w:shd w:val="clear" w:color="auto" w:fill="FFFFFF"/>
        </w:rPr>
      </w:pPr>
      <w:r>
        <w:rPr>
          <w:rFonts w:hint="eastAsia"/>
          <w:kern w:val="2"/>
          <w:sz w:val="24"/>
          <w:shd w:val="clear" w:color="auto" w:fill="FFFFFF"/>
        </w:rPr>
        <w:t>项目</w:t>
      </w:r>
      <w:r>
        <w:rPr>
          <w:rFonts w:hint="eastAsia"/>
          <w:sz w:val="24"/>
          <w:shd w:val="clear" w:color="auto" w:fill="FFFFFF"/>
        </w:rPr>
        <w:t>搬迁补偿费包括宅基补偿、房屋拆除补偿</w:t>
      </w:r>
      <w:r>
        <w:rPr>
          <w:rFonts w:hint="eastAsia"/>
          <w:kern w:val="2"/>
          <w:sz w:val="24"/>
          <w:shd w:val="clear" w:color="auto" w:fill="FFFFFF"/>
        </w:rPr>
        <w:t>、装修及附属设施补偿、临时安置补助、搬迁补助、提前签约奖励和提前搬迁奖励</w:t>
      </w:r>
      <w:r>
        <w:rPr>
          <w:rFonts w:hint="eastAsia"/>
          <w:sz w:val="24"/>
          <w:shd w:val="clear" w:color="auto" w:fill="FFFFFF"/>
        </w:rPr>
        <w:t>、进城入镇购房补贴及购房奖励和优惠等费用，对于四类对象户按照相应标准和条件，其补偿不足部分，由镇财政托底</w:t>
      </w:r>
      <w:r>
        <w:rPr>
          <w:rFonts w:hint="eastAsia"/>
          <w:kern w:val="2"/>
          <w:sz w:val="24"/>
          <w:shd w:val="clear" w:color="auto" w:fill="FFFFFF"/>
        </w:rPr>
        <w:t>。具体费用由具有相应资质的房地产价格评估机构按照房屋征收评估办法以及土地征用相关规定说明评估确定。</w:t>
      </w:r>
    </w:p>
    <w:p w14:paraId="336AFFB3">
      <w:pPr>
        <w:spacing w:line="360" w:lineRule="auto"/>
        <w:ind w:firstLine="480" w:firstLineChars="200"/>
        <w:rPr>
          <w:sz w:val="24"/>
          <w:shd w:val="clear" w:color="auto" w:fill="FFFFFF"/>
        </w:rPr>
      </w:pPr>
      <w:r>
        <w:rPr>
          <w:rFonts w:hint="eastAsia"/>
          <w:sz w:val="24"/>
          <w:shd w:val="clear" w:color="auto" w:fill="FFFFFF"/>
        </w:rPr>
        <w:t>4、政府主导与市场运作相结合。政府在制定和调整规划、拆除安置、市政基础设施建设、争取政策和资金支持方面充分发挥主体职能作用的同时，对农村危旧房屋户实施拆除安置，采取自主开发和市场化运作相结合的方式，积极推进土地综合整治。</w:t>
      </w:r>
    </w:p>
    <w:p w14:paraId="50553357">
      <w:pPr>
        <w:spacing w:line="360" w:lineRule="auto"/>
        <w:ind w:firstLine="480" w:firstLineChars="200"/>
        <w:rPr>
          <w:sz w:val="24"/>
          <w:shd w:val="clear" w:color="auto" w:fill="FFFFFF"/>
        </w:rPr>
      </w:pPr>
      <w:r>
        <w:rPr>
          <w:rFonts w:hint="eastAsia"/>
          <w:sz w:val="24"/>
          <w:shd w:val="clear" w:color="auto" w:fill="FFFFFF"/>
        </w:rPr>
        <w:t>5、统筹规划与科学定位相结合。根据盐城经济开发区土地综合整治推进的实际情况，分阶段科学合理地调整控制性规划，坚持做到统一规划，合理布局。</w:t>
      </w:r>
    </w:p>
    <w:p w14:paraId="37ADDB7C">
      <w:pPr>
        <w:spacing w:line="360" w:lineRule="auto"/>
        <w:ind w:firstLine="480" w:firstLineChars="200"/>
        <w:rPr>
          <w:sz w:val="24"/>
          <w:shd w:val="clear" w:color="auto" w:fill="FFFFFF"/>
        </w:rPr>
      </w:pPr>
      <w:r>
        <w:rPr>
          <w:rFonts w:hint="eastAsia"/>
          <w:sz w:val="24"/>
          <w:shd w:val="clear" w:color="auto" w:fill="FFFFFF"/>
        </w:rPr>
        <w:t xml:space="preserve">6、安置方案 </w:t>
      </w:r>
    </w:p>
    <w:p w14:paraId="677EEE92">
      <w:pPr>
        <w:spacing w:line="360" w:lineRule="auto"/>
        <w:ind w:firstLine="480" w:firstLineChars="200"/>
        <w:rPr>
          <w:sz w:val="24"/>
          <w:shd w:val="clear" w:color="auto" w:fill="FFFFFF"/>
        </w:rPr>
      </w:pPr>
      <w:r>
        <w:rPr>
          <w:rFonts w:hint="eastAsia"/>
          <w:sz w:val="24"/>
          <w:shd w:val="clear" w:color="auto" w:fill="FFFFFF"/>
        </w:rPr>
        <w:t>和谐搬迁与妥善安置相结合。按照先安置、后拆除的原则，制订科学合理的拆除补偿安置方案。坚持以人为本的理念，妥善安置农村危旧房屋户居民。在安置过程中对搬迁农户采用自主选择的原则，可以选择到集中安置点安置，也可以选择全部货币补偿。</w:t>
      </w:r>
    </w:p>
    <w:p w14:paraId="205667CC">
      <w:pPr>
        <w:spacing w:line="360" w:lineRule="auto"/>
        <w:ind w:firstLine="480" w:firstLineChars="200"/>
        <w:rPr>
          <w:sz w:val="24"/>
          <w:shd w:val="clear" w:color="auto" w:fill="FFFFFF"/>
        </w:rPr>
      </w:pPr>
      <w:r>
        <w:rPr>
          <w:rFonts w:hint="eastAsia"/>
          <w:sz w:val="24"/>
          <w:shd w:val="clear" w:color="auto" w:fill="FFFFFF"/>
        </w:rPr>
        <w:t xml:space="preserve">7、土地复垦 </w:t>
      </w:r>
    </w:p>
    <w:p w14:paraId="66C87F53">
      <w:pPr>
        <w:spacing w:line="360" w:lineRule="auto"/>
        <w:ind w:firstLine="480" w:firstLineChars="200"/>
        <w:rPr>
          <w:sz w:val="24"/>
          <w:shd w:val="clear" w:color="auto" w:fill="FFFFFF"/>
        </w:rPr>
      </w:pPr>
      <w:r>
        <w:rPr>
          <w:rFonts w:hint="eastAsia"/>
          <w:sz w:val="24"/>
          <w:shd w:val="clear" w:color="auto" w:fill="FFFFFF"/>
        </w:rPr>
        <w:t>土地复垦应当符合土地利用总体规划和土地复垦规划的要求。土地利用总体规划规定土地复垦的要求和复垦后的基本用途。土地复垦应当根据土地利用总体规划确定的用途和条件进行。在制定土地复垦规划时，应当根据经济合理的原则和自然条件以及土地破坏状态，确定复垦后的具体土地有利于项目实施。编制土地复垦方案，实施土地复垦项目，进行土地复垦验收等活动，应当遵守土地复垦国家标准，没有国家标准的，应当遵守土地复垦行业标准。</w:t>
      </w:r>
    </w:p>
    <w:p w14:paraId="6FCB13CC">
      <w:pPr>
        <w:spacing w:line="360" w:lineRule="auto"/>
        <w:ind w:firstLine="482" w:firstLineChars="200"/>
        <w:textAlignment w:val="baseline"/>
        <w:rPr>
          <w:b/>
          <w:bCs/>
          <w:sz w:val="24"/>
          <w:shd w:val="clear" w:color="auto" w:fill="FFFFFF"/>
        </w:rPr>
      </w:pPr>
      <w:r>
        <w:rPr>
          <w:rFonts w:hint="eastAsia"/>
          <w:b/>
          <w:bCs/>
          <w:sz w:val="24"/>
          <w:shd w:val="clear" w:color="auto" w:fill="FFFFFF"/>
        </w:rPr>
        <w:t>四、特别说明</w:t>
      </w:r>
    </w:p>
    <w:p w14:paraId="611A4658">
      <w:pPr>
        <w:spacing w:line="360" w:lineRule="auto"/>
        <w:ind w:firstLine="480" w:firstLineChars="200"/>
        <w:textAlignment w:val="baseline"/>
        <w:rPr>
          <w:sz w:val="24"/>
          <w:shd w:val="clear" w:color="auto" w:fill="FFFFFF"/>
        </w:rPr>
      </w:pPr>
      <w:r>
        <w:rPr>
          <w:rFonts w:hint="eastAsia"/>
          <w:sz w:val="24"/>
          <w:shd w:val="clear" w:color="auto" w:fill="FFFFFF"/>
        </w:rPr>
        <w:t>（1）本标不允许分包、转包，否则不作为中候选人或中标资格被取消。</w:t>
      </w:r>
    </w:p>
    <w:p w14:paraId="0607B09B">
      <w:pPr>
        <w:spacing w:line="360" w:lineRule="auto"/>
        <w:ind w:firstLine="480" w:firstLineChars="200"/>
        <w:textAlignment w:val="baseline"/>
        <w:rPr>
          <w:sz w:val="24"/>
          <w:shd w:val="clear" w:color="auto" w:fill="FFFFFF"/>
        </w:rPr>
      </w:pPr>
      <w:r>
        <w:rPr>
          <w:rFonts w:hint="eastAsia"/>
          <w:sz w:val="24"/>
          <w:shd w:val="clear" w:color="auto" w:fill="FFFFFF"/>
        </w:rPr>
        <w:t xml:space="preserve">（2）本项目报价含完成项目内容的一切费用，供应商应综合考虑在报价中。 </w:t>
      </w:r>
    </w:p>
    <w:p w14:paraId="10FFD68A">
      <w:pPr>
        <w:spacing w:line="360" w:lineRule="auto"/>
        <w:ind w:firstLine="480" w:firstLineChars="200"/>
        <w:textAlignment w:val="baseline"/>
        <w:rPr>
          <w:sz w:val="24"/>
          <w:shd w:val="clear" w:color="auto" w:fill="FFFFFF"/>
        </w:rPr>
      </w:pPr>
      <w:r>
        <w:rPr>
          <w:rFonts w:hint="eastAsia"/>
          <w:sz w:val="24"/>
          <w:shd w:val="clear" w:color="auto" w:fill="FFFFFF"/>
        </w:rPr>
        <w:t>（3）本次招标不接受选择性报价。</w:t>
      </w:r>
    </w:p>
    <w:p w14:paraId="24AF11E7">
      <w:pPr>
        <w:spacing w:line="360" w:lineRule="auto"/>
        <w:ind w:firstLine="480" w:firstLineChars="200"/>
        <w:textAlignment w:val="baseline"/>
        <w:rPr>
          <w:sz w:val="24"/>
          <w:shd w:val="clear" w:color="auto" w:fill="FFFFFF"/>
        </w:rPr>
      </w:pPr>
      <w:r>
        <w:rPr>
          <w:rFonts w:hint="eastAsia"/>
          <w:sz w:val="24"/>
          <w:shd w:val="clear" w:color="auto" w:fill="FFFFFF"/>
        </w:rPr>
        <w:t>（4）资格后审：在评审时，对供应商的响应文件中资格性、符合性进行审查，确定供应商是否具备资格以及是否具备成交资格。</w:t>
      </w:r>
    </w:p>
    <w:p w14:paraId="579AB25F">
      <w:pPr>
        <w:spacing w:line="360" w:lineRule="auto"/>
        <w:ind w:firstLine="480" w:firstLineChars="200"/>
        <w:textAlignment w:val="baseline"/>
        <w:rPr>
          <w:sz w:val="24"/>
          <w:shd w:val="clear" w:color="auto" w:fill="FFFFFF"/>
        </w:rPr>
      </w:pPr>
      <w:r>
        <w:rPr>
          <w:rFonts w:hint="eastAsia"/>
          <w:sz w:val="24"/>
          <w:shd w:val="clear" w:color="auto" w:fill="FFFFFF"/>
        </w:rPr>
        <w:t>（5）供应商如未能在承诺时间内提供服务，采购人有权没收其履约保证金作为预定的损害赔偿而非罚款。</w:t>
      </w:r>
    </w:p>
    <w:p w14:paraId="272B7DB8">
      <w:pPr>
        <w:widowControl/>
        <w:spacing w:line="360" w:lineRule="auto"/>
        <w:ind w:firstLine="480"/>
        <w:jc w:val="left"/>
        <w:rPr>
          <w:rFonts w:ascii="宋体" w:hAnsi="宋体"/>
          <w:sz w:val="24"/>
        </w:rPr>
      </w:pPr>
      <w:r>
        <w:rPr>
          <w:rFonts w:hint="eastAsia"/>
          <w:sz w:val="24"/>
          <w:shd w:val="clear" w:color="auto" w:fill="FFFFFF"/>
        </w:rPr>
        <w:t>（6）对本项目供应商资格要求、项目需求、评分标准等的质疑由采购单位负责答复；采购单位具有项目的解释权，质疑函和答复须同时报采购代理机构备案管理。</w:t>
      </w:r>
    </w:p>
    <w:p w14:paraId="74766196">
      <w:pPr>
        <w:pStyle w:val="4"/>
        <w:spacing w:beforeAutospacing="0" w:afterAutospacing="0" w:line="0" w:lineRule="atLeast"/>
        <w:jc w:val="both"/>
      </w:pPr>
    </w:p>
    <w:p w14:paraId="3E91747A">
      <w:pPr>
        <w:pStyle w:val="4"/>
        <w:spacing w:beforeAutospacing="0" w:afterAutospacing="0" w:line="0" w:lineRule="atLeast"/>
        <w:jc w:val="both"/>
      </w:pPr>
      <w:r>
        <w:rPr>
          <w:rFonts w:hint="eastAsia"/>
        </w:rPr>
        <w:t>采购标的对应的中小企业划分标准所属行业一览表</w:t>
      </w:r>
    </w:p>
    <w:tbl>
      <w:tblPr>
        <w:tblStyle w:val="5"/>
        <w:tblW w:w="7707" w:type="dxa"/>
        <w:jc w:val="center"/>
        <w:tblCellSpacing w:w="0" w:type="dxa"/>
        <w:tblLayout w:type="fixed"/>
        <w:tblCellMar>
          <w:top w:w="0" w:type="dxa"/>
          <w:left w:w="108" w:type="dxa"/>
          <w:bottom w:w="0" w:type="dxa"/>
          <w:right w:w="108" w:type="dxa"/>
        </w:tblCellMar>
      </w:tblPr>
      <w:tblGrid>
        <w:gridCol w:w="909"/>
        <w:gridCol w:w="3946"/>
        <w:gridCol w:w="2852"/>
      </w:tblGrid>
      <w:tr w14:paraId="5CB874EA">
        <w:tblPrEx>
          <w:tblCellMar>
            <w:top w:w="0" w:type="dxa"/>
            <w:left w:w="108" w:type="dxa"/>
            <w:bottom w:w="0" w:type="dxa"/>
            <w:right w:w="108" w:type="dxa"/>
          </w:tblCellMar>
        </w:tblPrEx>
        <w:trPr>
          <w:trHeight w:val="908" w:hRule="atLeast"/>
          <w:tblCellSpacing w:w="0" w:type="dxa"/>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F344">
            <w:pPr>
              <w:pStyle w:val="4"/>
              <w:spacing w:beforeAutospacing="0" w:afterAutospacing="0" w:line="0" w:lineRule="atLeast"/>
              <w:jc w:val="center"/>
            </w:pPr>
            <w:r>
              <w:rPr>
                <w:rFonts w:hint="eastAsia"/>
              </w:rPr>
              <w:t>序号</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DD39">
            <w:pPr>
              <w:pStyle w:val="4"/>
              <w:spacing w:beforeAutospacing="0" w:afterAutospacing="0" w:line="0" w:lineRule="atLeast"/>
              <w:jc w:val="center"/>
            </w:pPr>
            <w:r>
              <w:rPr>
                <w:rFonts w:hint="eastAsia"/>
              </w:rPr>
              <w:t>采购标的</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CBD5">
            <w:pPr>
              <w:pStyle w:val="4"/>
              <w:spacing w:beforeAutospacing="0" w:afterAutospacing="0" w:line="0" w:lineRule="atLeast"/>
              <w:jc w:val="center"/>
            </w:pPr>
            <w:r>
              <w:rPr>
                <w:rFonts w:hint="eastAsia"/>
              </w:rPr>
              <w:t>对应中小企业划分标准所属行业</w:t>
            </w:r>
          </w:p>
        </w:tc>
      </w:tr>
      <w:tr w14:paraId="0578B3AA">
        <w:tblPrEx>
          <w:tblCellMar>
            <w:top w:w="0" w:type="dxa"/>
            <w:left w:w="108" w:type="dxa"/>
            <w:bottom w:w="0" w:type="dxa"/>
            <w:right w:w="108" w:type="dxa"/>
          </w:tblCellMar>
        </w:tblPrEx>
        <w:trPr>
          <w:trHeight w:val="291" w:hRule="atLeast"/>
          <w:tblCellSpacing w:w="0" w:type="dxa"/>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6BE7">
            <w:pPr>
              <w:pStyle w:val="4"/>
              <w:spacing w:beforeAutospacing="0" w:afterAutospacing="0" w:line="0" w:lineRule="atLeast"/>
              <w:jc w:val="center"/>
            </w:pPr>
            <w:r>
              <w:rPr>
                <w:rFonts w:hint="eastAsia"/>
              </w:rPr>
              <w:t>1</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C46A">
            <w:pPr>
              <w:pStyle w:val="4"/>
              <w:spacing w:beforeAutospacing="0" w:afterAutospacing="0" w:line="0" w:lineRule="atLeast"/>
              <w:jc w:val="center"/>
            </w:pPr>
            <w:r>
              <w:rPr>
                <w:rFonts w:hint="eastAsia"/>
              </w:rPr>
              <w:t>盐城经济技术开发区步凤镇2024年改善农民群众住房条件项目</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AE79">
            <w:pPr>
              <w:pStyle w:val="4"/>
              <w:spacing w:beforeAutospacing="0" w:afterAutospacing="0" w:line="0" w:lineRule="atLeast"/>
              <w:jc w:val="center"/>
            </w:pPr>
            <w:r>
              <w:rPr>
                <w:rFonts w:hint="eastAsia"/>
              </w:rPr>
              <w:t>其他未列明行业</w:t>
            </w:r>
          </w:p>
        </w:tc>
      </w:tr>
    </w:tbl>
    <w:p w14:paraId="58C914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D8"/>
    <w:rsid w:val="001130EF"/>
    <w:rsid w:val="00895C7F"/>
    <w:rsid w:val="00DE610A"/>
    <w:rsid w:val="00F726D8"/>
    <w:rsid w:val="3526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unhideWhenUsed/>
    <w:qFormat/>
    <w:uiPriority w:val="99"/>
    <w:pPr>
      <w:widowControl/>
      <w:spacing w:before="100" w:beforeAutospacing="1" w:after="100" w:afterAutospacing="1"/>
      <w:jc w:val="left"/>
    </w:pPr>
    <w:rPr>
      <w:rFonts w:ascii="宋体" w:hAnsi="宋体" w:cs="宋体"/>
      <w:sz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character" w:customStyle="1" w:styleId="9">
    <w:name w:val="普通(网站) Char"/>
    <w:link w:val="4"/>
    <w:qFormat/>
    <w:locked/>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2564</Words>
  <Characters>2610</Characters>
  <Lines>18</Lines>
  <Paragraphs>5</Paragraphs>
  <TotalTime>12</TotalTime>
  <ScaleCrop>false</ScaleCrop>
  <LinksUpToDate>false</LinksUpToDate>
  <CharactersWithSpaces>2617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2024-11-12T08:30:00Z</dcterms:created>
  <dc:creator>Think</dc:creator>
  <cp:lastModifiedBy>上山打老虎</cp:lastModifiedBy>
  <dcterms:modified xsi:type="dcterms:W3CDTF">2024-11-14T08:04:51Z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202717F2EE2D4ABD9E2CB59B84A8FF12_13</vt:lpwstr>
  </property>
</Properties>
</file>