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94D6">
      <w:pPr>
        <w:jc w:val="center"/>
        <w:rPr>
          <w:rFonts w:ascii="宋体" w:hAnsi="宋体" w:eastAsia="宋体" w:cs="黑体"/>
          <w:color w:val="000000"/>
          <w:sz w:val="44"/>
          <w:szCs w:val="44"/>
        </w:rPr>
      </w:pPr>
      <w:r>
        <w:rPr>
          <w:rFonts w:hint="eastAsia" w:ascii="宋体" w:hAnsi="宋体" w:eastAsia="宋体" w:cs="黑体"/>
          <w:color w:val="000000"/>
          <w:sz w:val="44"/>
          <w:szCs w:val="44"/>
        </w:rPr>
        <w:t xml:space="preserve">第四章 </w:t>
      </w:r>
      <w:bookmarkStart w:id="4" w:name="_GoBack"/>
      <w:r>
        <w:rPr>
          <w:rFonts w:hint="eastAsia" w:ascii="宋体" w:hAnsi="宋体" w:eastAsia="宋体" w:cs="黑体"/>
          <w:color w:val="000000"/>
          <w:sz w:val="44"/>
          <w:szCs w:val="44"/>
        </w:rPr>
        <w:t>采购需求</w:t>
      </w:r>
      <w:bookmarkEnd w:id="4"/>
    </w:p>
    <w:p w14:paraId="37C6DCDC">
      <w:pPr>
        <w:widowControl w:val="0"/>
        <w:spacing w:line="360" w:lineRule="auto"/>
        <w:jc w:val="both"/>
        <w:rPr>
          <w:rFonts w:ascii="宋体" w:hAnsi="宋体" w:eastAsia="宋体" w:cs="Times New Roman"/>
          <w:kern w:val="2"/>
          <w:sz w:val="24"/>
        </w:rPr>
      </w:pPr>
      <w:r>
        <w:rPr>
          <w:rFonts w:hint="eastAsia" w:ascii="宋体" w:hAnsi="宋体" w:eastAsia="宋体" w:cs="Times New Roman"/>
          <w:kern w:val="2"/>
          <w:sz w:val="24"/>
        </w:rPr>
        <w:t>项目属性:服务类项目。</w:t>
      </w:r>
    </w:p>
    <w:p w14:paraId="7694512D">
      <w:pPr>
        <w:widowControl w:val="0"/>
        <w:spacing w:line="360" w:lineRule="auto"/>
        <w:rPr>
          <w:rFonts w:ascii="宋体" w:hAnsi="宋体" w:eastAsia="宋体" w:cs="宋体"/>
          <w:kern w:val="2"/>
        </w:rPr>
      </w:pPr>
      <w:r>
        <w:rPr>
          <w:rFonts w:hint="eastAsia" w:ascii="宋体" w:hAnsi="宋体" w:eastAsia="宋体" w:cs="宋体"/>
          <w:b/>
          <w:bCs/>
          <w:kern w:val="2"/>
        </w:rPr>
        <w:t>一、</w:t>
      </w:r>
      <w:r>
        <w:rPr>
          <w:rFonts w:hint="eastAsia" w:ascii="宋体" w:hAnsi="宋体" w:eastAsia="宋体" w:cs="宋体"/>
          <w:b/>
          <w:kern w:val="2"/>
          <w:sz w:val="24"/>
        </w:rPr>
        <w:t>项目建设的背景</w:t>
      </w:r>
      <w:r>
        <w:rPr>
          <w:rFonts w:hint="eastAsia" w:ascii="宋体" w:hAnsi="宋体" w:eastAsia="宋体" w:cs="宋体"/>
          <w:b/>
          <w:bCs/>
          <w:color w:val="000000"/>
          <w:sz w:val="31"/>
          <w:szCs w:val="31"/>
          <w:lang w:bidi="ar"/>
        </w:rPr>
        <w:t xml:space="preserve"> </w:t>
      </w:r>
    </w:p>
    <w:p w14:paraId="2201B6CB">
      <w:pPr>
        <w:widowControl w:val="0"/>
        <w:spacing w:line="360" w:lineRule="auto"/>
        <w:ind w:firstLine="480" w:firstLineChars="200"/>
        <w:jc w:val="both"/>
        <w:textAlignment w:val="baseline"/>
        <w:rPr>
          <w:rFonts w:hint="eastAsia"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改善城镇人居环境、推进老旧小区改造，是党中央作出的重大民生决策，也是补齐民生短板、提升城市内涵品质的重要抓手。习近平总书记多次强调要坚持以人民为中心的发展思想，党的二十大报告明确将城镇老旧小区改造作为城市更新的重要内容，凸显其重要地位。随着城镇化推进，早期建成的老旧小区逐渐暴露出基础设施老化、功能配套不足等问题，亟需通过系统性改造破解。</w:t>
      </w:r>
    </w:p>
    <w:p w14:paraId="36CE5533">
      <w:pPr>
        <w:widowControl w:val="0"/>
        <w:spacing w:line="360" w:lineRule="auto"/>
        <w:ind w:firstLine="480" w:firstLineChars="200"/>
        <w:jc w:val="both"/>
        <w:textAlignment w:val="baseline"/>
        <w:rPr>
          <w:rFonts w:hint="eastAsia"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盐城作为长三角中心区重要成员城市，盐城市始终以建设 “强富美高” 新盐城为目标，将老旧小区改造作为增进民生福祉的核心举措。盐城经开区作为国家级开发区，产业集聚效应持续释放、人口导入规模扩大，但区内早期老旧小区存在基础设施老化、公共服务缺失等问题，既影响居民生活质量，也与园区高质量发展配套需求不相适应，居民改造诉求强烈。</w:t>
      </w:r>
    </w:p>
    <w:p w14:paraId="32FB3405">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响应国家、省、市相关政策号召，盐城经开区将老旧小区改造纳入重点工作任务，聚焦基础设施完善、功能配套提升等重点。在此背景下，建设单位启动本次老旧小区改造项目，选取经开区核心片区多个老旧小区，围绕建筑本体修缮、基础设施升级、公共环境优化等维度，解决民生痛点，既是落实民生工程部署的具体行动，也是优化营商环境、增强产业人口归属感的关键举措，对推动区域协调发展、增进群众福祉具有重要意义。</w:t>
      </w:r>
    </w:p>
    <w:p w14:paraId="6A076347">
      <w:pPr>
        <w:widowControl w:val="0"/>
        <w:spacing w:line="360" w:lineRule="auto"/>
        <w:rPr>
          <w:rFonts w:ascii="宋体" w:hAnsi="宋体" w:eastAsia="宋体" w:cs="宋体"/>
          <w:b/>
          <w:kern w:val="2"/>
          <w:sz w:val="24"/>
        </w:rPr>
      </w:pPr>
      <w:r>
        <w:rPr>
          <w:rFonts w:hint="eastAsia" w:ascii="宋体" w:hAnsi="宋体" w:eastAsia="宋体" w:cs="宋体"/>
          <w:b/>
          <w:kern w:val="2"/>
          <w:sz w:val="24"/>
        </w:rPr>
        <w:t>二、项目概述</w:t>
      </w:r>
    </w:p>
    <w:p w14:paraId="3878953A">
      <w:pPr>
        <w:widowControl w:val="0"/>
        <w:spacing w:line="360" w:lineRule="auto"/>
        <w:ind w:firstLine="480" w:firstLineChars="200"/>
        <w:jc w:val="both"/>
        <w:rPr>
          <w:rFonts w:ascii="宋体" w:hAnsi="宋体" w:eastAsia="宋体" w:cs="宋体"/>
          <w:kern w:val="2"/>
          <w:sz w:val="24"/>
          <w:shd w:val="clear" w:color="auto" w:fill="FFFFFF"/>
        </w:rPr>
      </w:pPr>
      <w:bookmarkStart w:id="0" w:name="_Hlk214289854"/>
      <w:r>
        <w:rPr>
          <w:rFonts w:hint="eastAsia" w:ascii="宋体" w:hAnsi="宋体" w:eastAsia="宋体" w:cs="宋体"/>
          <w:kern w:val="2"/>
          <w:sz w:val="24"/>
          <w:shd w:val="clear" w:color="auto" w:fill="FFFFFF"/>
        </w:rPr>
        <w:t>1、项目名称：盐城经济技术开发区2025年老旧小区改善提升项目。</w:t>
      </w:r>
    </w:p>
    <w:p w14:paraId="0501A445">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2、项目地点：本项目位于盐城经开区，涉及</w:t>
      </w:r>
      <w:r>
        <w:rPr>
          <w:rFonts w:ascii="宋体" w:hAnsi="宋体" w:eastAsia="宋体" w:cs="宋体"/>
          <w:kern w:val="2"/>
          <w:sz w:val="24"/>
          <w:shd w:val="clear" w:color="auto" w:fill="FFFFFF"/>
        </w:rPr>
        <w:t>阳光世纪园、阳光康居园、新嘉源人才公寓、蔡尖花园、中舍花园5个老旧小区</w:t>
      </w:r>
      <w:r>
        <w:rPr>
          <w:rFonts w:hint="eastAsia" w:ascii="宋体" w:hAnsi="宋体" w:eastAsia="宋体" w:cs="宋体"/>
          <w:kern w:val="2"/>
          <w:sz w:val="24"/>
          <w:shd w:val="clear" w:color="auto" w:fill="FFFFFF"/>
        </w:rPr>
        <w:t>。</w:t>
      </w:r>
    </w:p>
    <w:p w14:paraId="2B07A882">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3、履行期限：自合同生效之日起12个月。</w:t>
      </w:r>
    </w:p>
    <w:p w14:paraId="5FD85AF7">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4、项目规模及内容：对盐城经开区</w:t>
      </w:r>
      <w:r>
        <w:rPr>
          <w:rFonts w:ascii="宋体" w:hAnsi="宋体" w:eastAsia="宋体" w:cs="宋体"/>
          <w:kern w:val="2"/>
          <w:sz w:val="24"/>
          <w:shd w:val="clear" w:color="auto" w:fill="FFFFFF"/>
        </w:rPr>
        <w:t>阳光世纪园、阳光康居园、新嘉源人才公寓、蔡尖花园、中舍花园等5个老旧小区</w:t>
      </w:r>
      <w:r>
        <w:rPr>
          <w:rFonts w:hint="eastAsia" w:ascii="宋体" w:hAnsi="宋体" w:eastAsia="宋体" w:cs="宋体"/>
          <w:kern w:val="2"/>
          <w:sz w:val="24"/>
          <w:shd w:val="clear" w:color="auto" w:fill="FFFFFF"/>
        </w:rPr>
        <w:t>实施改造提升工程，涉及</w:t>
      </w:r>
      <w:r>
        <w:rPr>
          <w:rFonts w:ascii="宋体" w:hAnsi="宋体" w:eastAsia="宋体" w:cs="宋体"/>
          <w:kern w:val="2"/>
          <w:sz w:val="24"/>
          <w:shd w:val="clear" w:color="auto" w:fill="FFFFFF"/>
        </w:rPr>
        <w:t>165栋</w:t>
      </w:r>
      <w:r>
        <w:rPr>
          <w:rFonts w:hint="eastAsia" w:ascii="宋体" w:hAnsi="宋体" w:eastAsia="宋体" w:cs="宋体"/>
          <w:kern w:val="2"/>
          <w:sz w:val="24"/>
          <w:shd w:val="clear" w:color="auto" w:fill="FFFFFF"/>
        </w:rPr>
        <w:t>居民住宅楼，</w:t>
      </w:r>
      <w:r>
        <w:rPr>
          <w:rFonts w:ascii="宋体" w:hAnsi="宋体" w:eastAsia="宋体" w:cs="宋体"/>
          <w:kern w:val="2"/>
          <w:sz w:val="24"/>
          <w:shd w:val="clear" w:color="auto" w:fill="FFFFFF"/>
        </w:rPr>
        <w:t>6089户</w:t>
      </w:r>
      <w:r>
        <w:rPr>
          <w:rFonts w:hint="eastAsia" w:ascii="宋体" w:hAnsi="宋体" w:eastAsia="宋体" w:cs="宋体"/>
          <w:kern w:val="2"/>
          <w:sz w:val="24"/>
          <w:shd w:val="clear" w:color="auto" w:fill="FFFFFF"/>
        </w:rPr>
        <w:t>居民，建筑面积</w:t>
      </w:r>
      <w:r>
        <w:rPr>
          <w:rFonts w:ascii="宋体" w:hAnsi="宋体" w:eastAsia="宋体" w:cs="宋体"/>
          <w:kern w:val="2"/>
          <w:sz w:val="24"/>
          <w:shd w:val="clear" w:color="auto" w:fill="FFFFFF"/>
        </w:rPr>
        <w:t>78.70</w:t>
      </w:r>
      <w:r>
        <w:rPr>
          <w:rFonts w:hint="eastAsia" w:ascii="宋体" w:hAnsi="宋体" w:eastAsia="宋体" w:cs="宋体"/>
          <w:kern w:val="2"/>
          <w:sz w:val="24"/>
          <w:shd w:val="clear" w:color="auto" w:fill="FFFFFF"/>
        </w:rPr>
        <w:t>万平方米。</w:t>
      </w:r>
      <w:r>
        <w:rPr>
          <w:rFonts w:ascii="宋体" w:hAnsi="宋体" w:eastAsia="宋体" w:cs="宋体"/>
          <w:kern w:val="2"/>
          <w:sz w:val="24"/>
          <w:shd w:val="clear" w:color="auto" w:fill="FFFFFF"/>
        </w:rPr>
        <w:t>包括实施单元楼内部翻新、消防改造、电气改造等工程；实施室外公区</w:t>
      </w:r>
      <w:r>
        <w:rPr>
          <w:rFonts w:hint="eastAsia" w:ascii="宋体" w:hAnsi="宋体" w:eastAsia="宋体" w:cs="宋体"/>
          <w:kern w:val="2"/>
          <w:sz w:val="24"/>
          <w:shd w:val="clear" w:color="auto" w:fill="FFFFFF"/>
        </w:rPr>
        <w:t>道路</w:t>
      </w:r>
      <w:r>
        <w:rPr>
          <w:rFonts w:ascii="宋体" w:hAnsi="宋体" w:eastAsia="宋体" w:cs="宋体"/>
          <w:kern w:val="2"/>
          <w:sz w:val="24"/>
          <w:shd w:val="clear" w:color="auto" w:fill="FFFFFF"/>
        </w:rPr>
        <w:t>广场修补、绿化提升、停车设施改造、管网改造、</w:t>
      </w:r>
      <w:r>
        <w:rPr>
          <w:rFonts w:hint="eastAsia" w:ascii="宋体" w:hAnsi="宋体" w:eastAsia="宋体" w:cs="宋体"/>
          <w:kern w:val="2"/>
          <w:sz w:val="24"/>
          <w:shd w:val="clear" w:color="auto" w:fill="FFFFFF"/>
        </w:rPr>
        <w:t>便民服务点改造等</w:t>
      </w:r>
      <w:r>
        <w:rPr>
          <w:rFonts w:ascii="宋体" w:hAnsi="宋体" w:eastAsia="宋体" w:cs="宋体"/>
          <w:kern w:val="2"/>
          <w:sz w:val="24"/>
          <w:shd w:val="clear" w:color="auto" w:fill="FFFFFF"/>
        </w:rPr>
        <w:t>工程</w:t>
      </w:r>
      <w:r>
        <w:rPr>
          <w:rFonts w:hint="eastAsia" w:ascii="宋体" w:hAnsi="宋体" w:eastAsia="宋体" w:cs="宋体"/>
          <w:kern w:val="2"/>
          <w:sz w:val="24"/>
          <w:shd w:val="clear" w:color="auto" w:fill="FFFFFF"/>
        </w:rPr>
        <w:t>。</w:t>
      </w:r>
    </w:p>
    <w:p w14:paraId="0A26AA79">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5、质量和验收要求：符合国家省市相关合格验收标准。验收合格并不免除在质保期内中标人应负的责任。</w:t>
      </w:r>
    </w:p>
    <w:p w14:paraId="08669749">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6、采购项目预算金额：40000.00万元</w:t>
      </w:r>
    </w:p>
    <w:p w14:paraId="62C68F41">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7、本项目不接受超过40000万元（采购项目预算金额）的报价，报价包含完成盐城经济技术开发区2025年老旧小区改善提升项目的所有费用及质保期内中标人应负的责任，采购人不再支付报价以外的任何费用。</w:t>
      </w:r>
    </w:p>
    <w:p w14:paraId="7672923E">
      <w:pPr>
        <w:widowControl w:val="0"/>
        <w:spacing w:line="360" w:lineRule="auto"/>
        <w:ind w:firstLine="480" w:firstLineChars="200"/>
        <w:jc w:val="both"/>
        <w:rPr>
          <w:rFonts w:ascii="宋体" w:hAnsi="宋体" w:eastAsia="宋体" w:cs="宋体"/>
          <w:kern w:val="2"/>
          <w:sz w:val="24"/>
          <w:shd w:val="clear" w:color="auto" w:fill="FFFFFF"/>
        </w:rPr>
      </w:pPr>
      <w:r>
        <w:rPr>
          <w:rFonts w:hint="eastAsia" w:ascii="宋体" w:hAnsi="宋体" w:eastAsia="宋体" w:cs="宋体"/>
          <w:kern w:val="2"/>
          <w:sz w:val="24"/>
          <w:shd w:val="clear" w:color="auto" w:fill="FFFFFF"/>
        </w:rPr>
        <w:t>8、投标人有漏报或不报的，采购人将视为有关费用已包括在本项目的报价中而不予支付。采购人不支付报价以外的任何费用。</w:t>
      </w:r>
    </w:p>
    <w:bookmarkEnd w:id="0"/>
    <w:p w14:paraId="368EFE5F">
      <w:pPr>
        <w:widowControl w:val="0"/>
        <w:spacing w:line="360" w:lineRule="auto"/>
        <w:jc w:val="both"/>
        <w:rPr>
          <w:rFonts w:ascii="Calibri" w:hAnsi="Calibri" w:eastAsia="宋体" w:cs="Times New Roman"/>
          <w:b/>
          <w:bCs/>
          <w:kern w:val="2"/>
          <w:sz w:val="24"/>
          <w:shd w:val="clear" w:color="auto" w:fill="FFFFFF"/>
        </w:rPr>
      </w:pPr>
      <w:bookmarkStart w:id="1" w:name="_Hlk214290286"/>
      <w:r>
        <w:rPr>
          <w:rFonts w:hint="eastAsia" w:ascii="Calibri" w:hAnsi="Calibri" w:eastAsia="宋体" w:cs="Times New Roman"/>
          <w:b/>
          <w:bCs/>
          <w:kern w:val="2"/>
          <w:sz w:val="24"/>
          <w:shd w:val="clear" w:color="auto" w:fill="FFFFFF"/>
        </w:rPr>
        <w:t>三、项目实施原则</w:t>
      </w:r>
    </w:p>
    <w:p w14:paraId="26C14C3E">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1、民生导向、问题优先原则</w:t>
      </w:r>
    </w:p>
    <w:p w14:paraId="6096B62C">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坚持以居民需求为出发点，聚焦老旧小区现存的建筑老化、消防隐患、管网破损、停车难等核心问题，优先实施单元楼内部翻新、消防电气改造、道路管网修复等基础类工程，消除屋面渗漏、线路老化、排水不畅等直接影响居住安全与生活质量的隐患。同步结合小区实际，因地制宜推进绿化提升、停车设施改造等完善类工程，确保有限资源精准用于解决居民急难愁盼问题，实现 “先民生、后提升”，让改造成果切实惠及群众。</w:t>
      </w:r>
    </w:p>
    <w:p w14:paraId="10D7930C">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2、规划统筹、系统推进原则</w:t>
      </w:r>
    </w:p>
    <w:p w14:paraId="3930FDC4">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强化规划引领作用，将5个老旧小区改造纳入经开区城镇发展整体布局，统筹考虑建筑风貌协调、基础设施衔接、公共服务配套等要素。在建筑本体改造中统一外立面风格、规范设施布局，避免 “各自为政” 导致的风貌杂乱；在基础设施改造中同步推进雨污分流、弱电入地、道路硬化等工程，与周边市政管网、交通系统形成有机整体；在公共服务配套中结合 “15 分钟生活圈” 建设要求，合理配建养老托育、便民商业等设施，提升老城区综合服务功能，实现改造区域与城市发展的系统性融合。</w:t>
      </w:r>
    </w:p>
    <w:p w14:paraId="278409D8">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3、质量为本、长效管理原则</w:t>
      </w:r>
    </w:p>
    <w:p w14:paraId="0F7A5B72">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严格把控工程质量，从设计、施工到验收全程落实《江苏省城镇老旧小区改造技术导则》等规范标准，选用耐候性强、节能环保的建筑材料，确保屋面防水、管线铺设、消防设施安装等关键环节质量达标，打造经得起时间检验的 “良心工程”。同步建立改造后长效管理机制，通过引入专业化物业管理、推动业主自治、明确公共设施维护责任等方式，避免 “重建轻管”，实现改造效果长期保持，形成 “建设 — 管理 — 服务” 闭环，保障居民长期享受改造成果。</w:t>
      </w:r>
    </w:p>
    <w:p w14:paraId="6412CBD3">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4、多元参与、共建共享原则</w:t>
      </w:r>
    </w:p>
    <w:p w14:paraId="40224C52">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建立 “政府主导、居民参与、社会协同” 的工作机制，在改造前通过问卷调查、居民座谈会等形式广泛征求意见，确保改造方案贴合实际需求；在改造中邀请居民代表参与工程监督，及时反馈问题、调整细节，保障改造过程公开透明；在改造后引导居民参与社区治理，通过成立业主委员会、制定小区公约等方式，激发居民 “主人翁” 意识，形成共建共治共享的基层治理新格局。同时，积极引入社会资本参与社区服务设施运营，实现政府、居民、企业多方协作，凝聚改造合力。</w:t>
      </w:r>
    </w:p>
    <w:p w14:paraId="7ED6CA7D">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5、绿色低碳、可持续发展原则</w:t>
      </w:r>
    </w:p>
    <w:p w14:paraId="11232269">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贯彻绿色发展理念，将节能、环保、低碳要求融入改造全过程。在建筑修缮中优先使用节能门窗、保温材料，提升住宅能效；在环境改造中保留原有绿化植被、增设雨水收集设施，打造生态化社区空间；在设施选型中推广使用 LED 照明、智能化安防设备，降低后期运营能耗。同时，注重改造的可持续性，充分考虑未来人口结构变化、技术进步等因素，预留充电桩、智慧社区系统等设施安装空间，避免重复建设，实现老旧小区从 “功能完善” 到 “品质升级” 的可持续发展。</w:t>
      </w:r>
    </w:p>
    <w:p w14:paraId="0BEBD982">
      <w:pPr>
        <w:widowControl w:val="0"/>
        <w:spacing w:line="360" w:lineRule="auto"/>
        <w:jc w:val="both"/>
        <w:rPr>
          <w:rFonts w:ascii="Calibri" w:hAnsi="Calibri" w:eastAsia="宋体" w:cs="Times New Roman"/>
          <w:b/>
          <w:bCs/>
          <w:kern w:val="2"/>
          <w:sz w:val="24"/>
          <w:shd w:val="clear" w:color="auto" w:fill="FFFFFF"/>
        </w:rPr>
      </w:pPr>
      <w:bookmarkStart w:id="2" w:name="_Toc211799732"/>
      <w:r>
        <w:rPr>
          <w:rFonts w:hint="eastAsia" w:ascii="Calibri" w:hAnsi="Calibri" w:eastAsia="宋体" w:cs="Times New Roman"/>
          <w:b/>
          <w:bCs/>
          <w:kern w:val="2"/>
          <w:sz w:val="24"/>
          <w:shd w:val="clear" w:color="auto" w:fill="FFFFFF"/>
        </w:rPr>
        <w:t>四、老旧小区改造要点</w:t>
      </w:r>
      <w:bookmarkEnd w:id="2"/>
    </w:p>
    <w:p w14:paraId="72040F04">
      <w:pPr>
        <w:widowControl w:val="0"/>
        <w:spacing w:line="360" w:lineRule="auto"/>
        <w:ind w:firstLine="480" w:firstLineChars="200"/>
        <w:jc w:val="both"/>
        <w:textAlignment w:val="baseline"/>
        <w:rPr>
          <w:rFonts w:ascii="Calibri" w:hAnsi="Calibri" w:eastAsia="宋体" w:cs="Times New Roman"/>
          <w:kern w:val="2"/>
          <w:sz w:val="24"/>
          <w:shd w:val="clear" w:color="auto" w:fill="FFFFFF"/>
        </w:rPr>
      </w:pPr>
      <w:r>
        <w:rPr>
          <w:rFonts w:hint="eastAsia" w:ascii="Calibri" w:hAnsi="Calibri" w:eastAsia="宋体" w:cs="Times New Roman"/>
          <w:kern w:val="2"/>
          <w:sz w:val="24"/>
          <w:shd w:val="clear" w:color="auto" w:fill="FFFFFF"/>
        </w:rPr>
        <w:t>城镇老旧小区改造内容包括基础类、完善类、提升类3类。</w:t>
      </w:r>
    </w:p>
    <w:p w14:paraId="20C0EE89">
      <w:pPr>
        <w:widowControl w:val="0"/>
        <w:spacing w:line="360" w:lineRule="auto"/>
        <w:ind w:firstLine="480" w:firstLineChars="200"/>
        <w:jc w:val="both"/>
        <w:textAlignment w:val="baseline"/>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shd w:val="clear" w:color="auto" w:fill="FFFFFF"/>
        </w:rPr>
        <w:t>1、</w:t>
      </w:r>
      <w:r>
        <w:rPr>
          <w:rFonts w:hint="eastAsia" w:ascii="Calibri" w:hAnsi="Calibri" w:eastAsia="宋体" w:cs="Times New Roman"/>
          <w:kern w:val="2"/>
          <w:sz w:val="24"/>
          <w:highlight w:val="none"/>
          <w:shd w:val="clear" w:color="auto" w:fill="FFFFFF"/>
        </w:rPr>
        <w:t>基础类。为满足居民安全需要和基本生活需求的内容，主要是市政配套基础设施改造提升以及小区内建筑物屋面、外墙、楼梯等公共部位维修等。其中，改造提升市政配套基础设施包括改造提升小区内部及与小区联系的供水、排水、供电、弱电、道路、供气、供热、消防、安防、生活垃圾分类、移动通信等基础设施，以及光纤入户、架空线规整（入地）等。</w:t>
      </w:r>
    </w:p>
    <w:p w14:paraId="248BCEC5">
      <w:pPr>
        <w:widowControl w:val="0"/>
        <w:spacing w:line="360" w:lineRule="auto"/>
        <w:ind w:firstLine="480" w:firstLineChars="200"/>
        <w:jc w:val="both"/>
        <w:textAlignment w:val="baseline"/>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2、完善类。为满足居民生活便利需要和改善型生活需求的内容，主要是环境及配套设施改造建设、小区内建筑节能改造、有条件的楼栋加装电梯等。其中，改造建设环境及配套设施包括拆除违法建设，整治小区及周边绿化、照明等环境，改造或建设小区及周边适老设施、无障碍设施、停车库（场）、电动自行车及汽车充电设施、智能快件箱、智能信包箱、文化休闲设施、体育健身设施、物业用房等配套设施。</w:t>
      </w:r>
    </w:p>
    <w:p w14:paraId="22881C9B">
      <w:pPr>
        <w:widowControl w:val="0"/>
        <w:spacing w:line="360" w:lineRule="auto"/>
        <w:ind w:firstLine="480" w:firstLineChars="200"/>
        <w:jc w:val="both"/>
        <w:textAlignment w:val="baseline"/>
        <w:rPr>
          <w:rFonts w:ascii="Calibri" w:hAnsi="Calibri" w:eastAsia="宋体" w:cs="Times New Roman"/>
          <w:kern w:val="2"/>
          <w:sz w:val="24"/>
          <w:highlight w:val="none"/>
          <w:shd w:val="clear" w:color="auto" w:fill="FFFFFF"/>
        </w:rPr>
      </w:pPr>
      <w:r>
        <w:rPr>
          <w:rFonts w:hint="eastAsia" w:ascii="Calibri" w:hAnsi="Calibri" w:eastAsia="宋体" w:cs="Times New Roman"/>
          <w:kern w:val="2"/>
          <w:sz w:val="24"/>
          <w:highlight w:val="none"/>
          <w:shd w:val="clear" w:color="auto" w:fill="FFFFFF"/>
        </w:rPr>
        <w:t>3、提升类。为丰富社区服务供给、提升居民生活品质、立足小区及周边实际条件积极推进的内容，主要是公共服务设施配套建设及其智慧化改造，包括改造或建设小区及周边的社区综合服务设施、卫生服务站等公共卫生设施、幼儿园等教育设施、周界防护等智能感知设施，以及养老、托育、助餐、家政保洁、便民市场、便利店、邮政快递末端综合服务站等社区专项服务设施。</w:t>
      </w:r>
    </w:p>
    <w:p w14:paraId="5ABE3342">
      <w:pPr>
        <w:widowControl w:val="0"/>
        <w:spacing w:line="360" w:lineRule="auto"/>
        <w:jc w:val="both"/>
        <w:rPr>
          <w:rFonts w:ascii="宋体" w:hAnsi="宋体" w:eastAsia="宋体" w:cs="宋体"/>
          <w:b/>
          <w:color w:val="000000"/>
          <w:kern w:val="2"/>
          <w:sz w:val="28"/>
          <w:szCs w:val="28"/>
          <w:highlight w:val="none"/>
        </w:rPr>
      </w:pPr>
      <w:r>
        <w:rPr>
          <w:rFonts w:hint="eastAsia" w:ascii="宋体" w:hAnsi="宋体" w:eastAsia="宋体" w:cs="宋体"/>
          <w:b/>
          <w:kern w:val="2"/>
          <w:sz w:val="24"/>
          <w:highlight w:val="none"/>
        </w:rPr>
        <w:t>五、</w:t>
      </w:r>
      <w:r>
        <w:rPr>
          <w:rFonts w:hint="eastAsia" w:ascii="宋体" w:hAnsi="宋体" w:eastAsia="宋体" w:cs="宋体"/>
          <w:b/>
          <w:color w:val="000000"/>
          <w:kern w:val="2"/>
          <w:sz w:val="24"/>
          <w:highlight w:val="none"/>
        </w:rPr>
        <w:t>自然条件及</w:t>
      </w:r>
      <w:r>
        <w:rPr>
          <w:rFonts w:hint="eastAsia" w:ascii="宋体" w:hAnsi="宋体" w:eastAsia="宋体" w:cs="宋体"/>
          <w:b/>
          <w:bCs/>
          <w:color w:val="000000"/>
          <w:kern w:val="2"/>
          <w:sz w:val="24"/>
          <w:highlight w:val="none"/>
        </w:rPr>
        <w:t>踏勘现场</w:t>
      </w:r>
    </w:p>
    <w:p w14:paraId="4DC159B8">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b/>
          <w:bCs/>
          <w:kern w:val="2"/>
          <w:sz w:val="24"/>
          <w:highlight w:val="none"/>
          <w:shd w:val="clear" w:color="auto" w:fill="FFFFFF"/>
        </w:rPr>
        <w:t>1、现场自然条件：要求投标人对项目现场和周围环境进行实地踏勘，以了解现场环境、技术要求及相关服务，获取有关编制投标文件和签订合同所需的各项资料，投标人应承担现场踏勘的责任和风险，费用由投标人自己承担。成交后不得以未踏勘现场或不了解现场为由提出任何增加费用的要求。</w:t>
      </w:r>
    </w:p>
    <w:p w14:paraId="0D9BD385">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现场踏勘：自行踏勘，投标人应先到现场踏勘以充分了解项目位置、内部现状、进出场限制、行车干扰及任何其它足以影响服务报价的情况，任何因忽视上述情况而导致的索赔或工期延长申请将不获批准，踏勘现场费用自理。</w:t>
      </w:r>
    </w:p>
    <w:p w14:paraId="2E0E4978">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2.1 投标人自行对现场进行踏勘，以获取编制投标文件所需的现场信息资料。</w:t>
      </w:r>
    </w:p>
    <w:p w14:paraId="75254440">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2.2 投标人对本招标文件所作出的理解、推论和解释由其自己负责。</w:t>
      </w:r>
    </w:p>
    <w:p w14:paraId="31B84C47">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2.3 由于现场踏勘没有进行或者不详细所导致的一切问题均由投标人自行负责。</w:t>
      </w:r>
    </w:p>
    <w:p w14:paraId="0653118B">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2.4 投标人应承担现场踏勘的责任和风险，现场踏勘费用由投标人自己承担。</w:t>
      </w:r>
    </w:p>
    <w:p w14:paraId="3BD4BB7E">
      <w:pPr>
        <w:widowControl w:val="0"/>
        <w:spacing w:line="360" w:lineRule="auto"/>
        <w:rPr>
          <w:rFonts w:ascii="宋体" w:hAnsi="宋体" w:eastAsia="宋体" w:cs="宋体"/>
          <w:b/>
          <w:kern w:val="2"/>
          <w:sz w:val="24"/>
          <w:highlight w:val="none"/>
        </w:rPr>
      </w:pPr>
      <w:r>
        <w:rPr>
          <w:rFonts w:hint="eastAsia" w:ascii="宋体" w:hAnsi="宋体" w:eastAsia="宋体" w:cs="宋体"/>
          <w:b/>
          <w:kern w:val="2"/>
          <w:sz w:val="24"/>
          <w:highlight w:val="none"/>
        </w:rPr>
        <w:t>六、投标报价</w:t>
      </w:r>
    </w:p>
    <w:p w14:paraId="6B299AE0">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1、投标人应对现场进行认真勘察，根据现场现状及限制性因素向采购人查询，并自主报价，提供分项价格表。报价包含完成项目的所有内容，采购人不再支付报价以外的任何费用。</w:t>
      </w:r>
    </w:p>
    <w:p w14:paraId="362775DE">
      <w:pPr>
        <w:widowControl w:val="0"/>
        <w:spacing w:line="360" w:lineRule="auto"/>
        <w:ind w:firstLine="480"/>
        <w:jc w:val="both"/>
        <w:rPr>
          <w:rFonts w:ascii="宋体" w:hAnsi="宋体" w:eastAsia="宋体" w:cs="宋体"/>
          <w:kern w:val="2"/>
          <w:sz w:val="24"/>
          <w:highlight w:val="none"/>
          <w:shd w:val="clear" w:color="auto" w:fill="FFFFFF"/>
        </w:rPr>
      </w:pPr>
      <w:r>
        <w:rPr>
          <w:rFonts w:hint="eastAsia" w:ascii="宋体" w:hAnsi="宋体" w:eastAsia="宋体" w:cs="宋体"/>
          <w:kern w:val="2"/>
          <w:sz w:val="24"/>
          <w:highlight w:val="none"/>
          <w:shd w:val="clear" w:color="auto" w:fill="FFFFFF"/>
        </w:rPr>
        <w:t>2、投标人的投标行为视为已充分调查、了解、核实场地现状，并同意接受而准备履约合同，不得转包和分包。</w:t>
      </w:r>
    </w:p>
    <w:p w14:paraId="22E18E1B">
      <w:pPr>
        <w:widowControl w:val="0"/>
        <w:spacing w:line="360" w:lineRule="auto"/>
        <w:rPr>
          <w:rFonts w:ascii="宋体" w:hAnsi="宋体" w:eastAsia="宋体" w:cs="宋体"/>
          <w:b/>
          <w:kern w:val="2"/>
          <w:sz w:val="24"/>
          <w:highlight w:val="none"/>
        </w:rPr>
      </w:pPr>
      <w:r>
        <w:rPr>
          <w:rFonts w:hint="eastAsia" w:ascii="宋体" w:hAnsi="宋体" w:eastAsia="宋体" w:cs="宋体"/>
          <w:b/>
          <w:kern w:val="2"/>
          <w:sz w:val="24"/>
          <w:highlight w:val="none"/>
        </w:rPr>
        <w:t>七、付款方式</w:t>
      </w:r>
    </w:p>
    <w:p w14:paraId="29D9A4FB">
      <w:pPr>
        <w:widowControl w:val="0"/>
        <w:spacing w:line="500" w:lineRule="exact"/>
        <w:ind w:firstLine="480" w:firstLineChars="200"/>
        <w:jc w:val="both"/>
        <w:rPr>
          <w:rFonts w:ascii="宋体" w:hAnsi="宋体" w:eastAsia="宋体" w:cs="宋体"/>
          <w:color w:val="000000"/>
          <w:sz w:val="24"/>
          <w:highlight w:val="none"/>
        </w:rPr>
      </w:pPr>
      <w:r>
        <w:rPr>
          <w:rFonts w:hint="eastAsia" w:ascii="宋体" w:hAnsi="宋体" w:eastAsia="宋体" w:cs="宋体"/>
          <w:kern w:val="2"/>
          <w:sz w:val="24"/>
          <w:highlight w:val="none"/>
          <w:shd w:val="clear" w:color="auto" w:fill="FFFFFF"/>
        </w:rPr>
        <w:t>合同预付款的比例为</w:t>
      </w:r>
      <w:r>
        <w:rPr>
          <w:rFonts w:ascii="宋体" w:hAnsi="宋体" w:eastAsia="宋体" w:cs="宋体"/>
          <w:kern w:val="2"/>
          <w:sz w:val="24"/>
          <w:highlight w:val="none"/>
          <w:shd w:val="clear" w:color="auto" w:fill="FFFFFF"/>
        </w:rPr>
        <w:t>30%</w:t>
      </w:r>
      <w:r>
        <w:rPr>
          <w:rFonts w:hint="eastAsia" w:ascii="宋体" w:hAnsi="宋体" w:eastAsia="宋体" w:cs="宋体"/>
          <w:kern w:val="2"/>
          <w:sz w:val="24"/>
          <w:highlight w:val="none"/>
          <w:shd w:val="clear" w:color="auto" w:fill="FFFFFF"/>
        </w:rPr>
        <w:t>，合同签订生效后，甲方在</w:t>
      </w:r>
      <w:r>
        <w:rPr>
          <w:rFonts w:ascii="宋体" w:hAnsi="宋体" w:eastAsia="宋体" w:cs="宋体"/>
          <w:kern w:val="2"/>
          <w:sz w:val="24"/>
          <w:highlight w:val="none"/>
          <w:shd w:val="clear" w:color="auto" w:fill="FFFFFF"/>
        </w:rPr>
        <w:t>10</w:t>
      </w:r>
      <w:r>
        <w:rPr>
          <w:rFonts w:hint="eastAsia" w:ascii="宋体" w:hAnsi="宋体" w:eastAsia="宋体" w:cs="宋体"/>
          <w:kern w:val="2"/>
          <w:sz w:val="24"/>
          <w:highlight w:val="none"/>
          <w:shd w:val="clear" w:color="auto" w:fill="FFFFFF"/>
        </w:rPr>
        <w:t>个工作日内将预付款支付到合同约定的乙方账户；乙方项目完成，经甲方审查验收认可后15个工作日内，支付至合同总金额的50%，项目满两年后经甲方审查合格后，甲方在</w:t>
      </w:r>
      <w:r>
        <w:rPr>
          <w:rFonts w:ascii="宋体" w:hAnsi="宋体" w:eastAsia="宋体" w:cs="宋体"/>
          <w:kern w:val="2"/>
          <w:sz w:val="24"/>
          <w:highlight w:val="none"/>
          <w:shd w:val="clear" w:color="auto" w:fill="FFFFFF"/>
        </w:rPr>
        <w:t>10</w:t>
      </w:r>
      <w:r>
        <w:rPr>
          <w:rFonts w:hint="eastAsia" w:ascii="宋体" w:hAnsi="宋体" w:eastAsia="宋体" w:cs="宋体"/>
          <w:kern w:val="2"/>
          <w:sz w:val="24"/>
          <w:highlight w:val="none"/>
          <w:shd w:val="clear" w:color="auto" w:fill="FFFFFF"/>
        </w:rPr>
        <w:t>个工作日内一次性支付剩余款项。</w:t>
      </w:r>
    </w:p>
    <w:p w14:paraId="1C0D5201">
      <w:pPr>
        <w:widowControl w:val="0"/>
        <w:spacing w:line="360" w:lineRule="auto"/>
        <w:rPr>
          <w:rFonts w:ascii="宋体" w:hAnsi="宋体" w:eastAsia="宋体" w:cs="宋体"/>
          <w:b/>
          <w:kern w:val="2"/>
          <w:sz w:val="24"/>
          <w:highlight w:val="none"/>
        </w:rPr>
      </w:pPr>
      <w:r>
        <w:rPr>
          <w:rFonts w:hint="eastAsia" w:ascii="宋体" w:hAnsi="宋体" w:eastAsia="宋体" w:cs="宋体"/>
          <w:b/>
          <w:kern w:val="2"/>
          <w:sz w:val="24"/>
          <w:highlight w:val="none"/>
        </w:rPr>
        <w:t>八、实施方案</w:t>
      </w:r>
    </w:p>
    <w:p w14:paraId="460FA124">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投标人应根据采购需求和本项目实际，制订相应的</w:t>
      </w:r>
      <w:bookmarkStart w:id="3" w:name="OLE_LINK91"/>
      <w:r>
        <w:rPr>
          <w:rFonts w:hint="eastAsia" w:ascii="宋体" w:hAnsi="宋体" w:eastAsia="宋体" w:cs="宋体"/>
          <w:bCs/>
          <w:kern w:val="2"/>
          <w:sz w:val="24"/>
          <w:highlight w:val="none"/>
        </w:rPr>
        <w:t>实施方案</w:t>
      </w:r>
      <w:bookmarkEnd w:id="3"/>
      <w:r>
        <w:rPr>
          <w:rFonts w:hint="eastAsia" w:ascii="宋体" w:hAnsi="宋体" w:eastAsia="宋体" w:cs="宋体"/>
          <w:bCs/>
          <w:kern w:val="2"/>
          <w:sz w:val="24"/>
          <w:highlight w:val="none"/>
        </w:rPr>
        <w:t>至少包含内容：</w:t>
      </w:r>
    </w:p>
    <w:p w14:paraId="60A5C56E">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1、对项目的理解分析，各投标人是否能正确理解本项目设立背景、研究主要内容及相关政策，对项目的重点、难点的理解及如何采用合理的措施保证项目的顺利完成。</w:t>
      </w:r>
    </w:p>
    <w:p w14:paraId="5294079E">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2、项目建设管理方案包括但不限于（1、编制依据、原则、工程概况等；2、总体布置及工期安排、技术方案等）。</w:t>
      </w:r>
    </w:p>
    <w:p w14:paraId="13F51F81">
      <w:pPr>
        <w:widowControl w:val="0"/>
        <w:spacing w:line="360" w:lineRule="auto"/>
        <w:ind w:firstLine="480" w:firstLineChars="200"/>
        <w:rPr>
          <w:rFonts w:ascii="宋体" w:hAnsi="宋体" w:eastAsia="宋体" w:cs="宋体"/>
          <w:bCs/>
          <w:kern w:val="2"/>
          <w:sz w:val="24"/>
          <w:highlight w:val="none"/>
        </w:rPr>
      </w:pPr>
      <w:r>
        <w:rPr>
          <w:rFonts w:hint="eastAsia" w:ascii="宋体" w:hAnsi="宋体" w:eastAsia="宋体" w:cs="宋体"/>
          <w:bCs/>
          <w:kern w:val="2"/>
          <w:sz w:val="24"/>
          <w:highlight w:val="none"/>
        </w:rPr>
        <w:t>3、人员培训方案包括但不限于（1、安全保证体系、健全的安全管理制度及安全技术交底措施等；2、人员的安全管理措施、安全操作规程等；3、人员安全教育培训措施等）。</w:t>
      </w:r>
    </w:p>
    <w:p w14:paraId="3DC648F1">
      <w:pPr>
        <w:widowControl w:val="0"/>
        <w:spacing w:line="360" w:lineRule="auto"/>
        <w:ind w:firstLine="480" w:firstLineChars="200"/>
        <w:rPr>
          <w:rFonts w:ascii="宋体" w:hAnsi="宋体" w:eastAsia="宋体" w:cs="宋体"/>
          <w:bCs/>
          <w:kern w:val="2"/>
          <w:sz w:val="24"/>
          <w:highlight w:val="none"/>
        </w:rPr>
      </w:pPr>
      <w:r>
        <w:rPr>
          <w:rFonts w:hint="eastAsia" w:ascii="宋体" w:hAnsi="宋体" w:eastAsia="宋体" w:cs="宋体"/>
          <w:bCs/>
          <w:kern w:val="2"/>
          <w:sz w:val="24"/>
          <w:highlight w:val="none"/>
        </w:rPr>
        <w:t xml:space="preserve">4、进度控制方案包括但不限于（1、计划总体说明，计划进度目标等；2、项目总进度计划表（图），分期（分批）实施计划等；3、实施计划、实施日期及里程碑节点等）。     </w:t>
      </w:r>
    </w:p>
    <w:p w14:paraId="7AE91E6A">
      <w:pPr>
        <w:widowControl w:val="0"/>
        <w:spacing w:line="360" w:lineRule="auto"/>
        <w:ind w:firstLine="480" w:firstLineChars="200"/>
        <w:rPr>
          <w:rFonts w:ascii="宋体" w:hAnsi="宋体" w:eastAsia="宋体" w:cs="宋体"/>
          <w:bCs/>
          <w:kern w:val="2"/>
          <w:sz w:val="24"/>
          <w:highlight w:val="none"/>
        </w:rPr>
      </w:pPr>
      <w:r>
        <w:rPr>
          <w:rFonts w:hint="eastAsia" w:ascii="宋体" w:hAnsi="宋体" w:eastAsia="宋体" w:cs="宋体"/>
          <w:bCs/>
          <w:kern w:val="2"/>
          <w:sz w:val="24"/>
          <w:highlight w:val="none"/>
        </w:rPr>
        <w:t>5、质量控制方案包括但不限于（1.能够采取多种有效的质量控制方法；2.能够指出建设过程中易出现的质量通病，具有有效的处 理措施；3.制定的旁站质量控制措施等）。</w:t>
      </w:r>
    </w:p>
    <w:p w14:paraId="5C40B2AE">
      <w:pPr>
        <w:widowControl w:val="0"/>
        <w:spacing w:line="360" w:lineRule="auto"/>
        <w:ind w:firstLine="480" w:firstLineChars="200"/>
        <w:rPr>
          <w:rFonts w:ascii="宋体" w:hAnsi="宋体" w:eastAsia="宋体" w:cs="宋体"/>
          <w:bCs/>
          <w:kern w:val="2"/>
          <w:sz w:val="24"/>
          <w:highlight w:val="none"/>
        </w:rPr>
      </w:pPr>
      <w:r>
        <w:rPr>
          <w:rFonts w:hint="eastAsia" w:ascii="宋体" w:hAnsi="宋体" w:eastAsia="宋体" w:cs="宋体"/>
          <w:bCs/>
          <w:kern w:val="2"/>
          <w:sz w:val="24"/>
          <w:highlight w:val="none"/>
        </w:rPr>
        <w:t>6、安全应急事件处理预案包括但不限于：1、应急事件处理预案总则（说明编制预案的目的、工作原则、编制依据、适用范围等）；2、应急响应（信息共享和处理，通讯，指挥和协调，紧急处置，应急人员的安全防护，群众的安全防护，社会力量动员与参与，事故调查分析、检测与后果评估等）；3、队伍管理（应急人员名单及联系电话、应急设备车辆等）。</w:t>
      </w:r>
    </w:p>
    <w:p w14:paraId="3913A5E3">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7、成果质量保障和后续服务保障，针对本项目制定后续服务方案（如后期保修及技术服务计划、质量回访措施等）。</w:t>
      </w:r>
    </w:p>
    <w:p w14:paraId="41CFC5CA">
      <w:pPr>
        <w:widowControl w:val="0"/>
        <w:spacing w:line="360" w:lineRule="auto"/>
        <w:rPr>
          <w:rFonts w:ascii="宋体" w:hAnsi="宋体" w:eastAsia="宋体" w:cs="宋体"/>
          <w:b/>
          <w:kern w:val="2"/>
          <w:sz w:val="24"/>
          <w:highlight w:val="none"/>
        </w:rPr>
      </w:pPr>
      <w:r>
        <w:rPr>
          <w:rFonts w:hint="eastAsia" w:ascii="宋体" w:hAnsi="宋体" w:eastAsia="宋体" w:cs="宋体"/>
          <w:b/>
          <w:kern w:val="2"/>
          <w:sz w:val="24"/>
          <w:highlight w:val="none"/>
        </w:rPr>
        <w:t>九、特别说明</w:t>
      </w:r>
    </w:p>
    <w:p w14:paraId="5AE3A56E">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（1）本标不允许分包、转包，否则不作为中标候选人或中标资格被取消。</w:t>
      </w:r>
    </w:p>
    <w:p w14:paraId="6A4E5F00">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（2）本项目报价含完成项目内容的一切费用，投标人应综合考虑在投标报价中。</w:t>
      </w:r>
      <w:r>
        <w:rPr>
          <w:rFonts w:hint="eastAsia" w:ascii="宋体" w:hAnsi="宋体" w:eastAsia="宋体" w:cs="宋体"/>
          <w:kern w:val="2"/>
          <w:sz w:val="24"/>
          <w:highlight w:val="none"/>
          <w:shd w:val="clear" w:color="auto" w:fill="FFFFFF"/>
        </w:rPr>
        <w:t>项目实施过程中所有事宜须由中标单位自行协调解决。</w:t>
      </w:r>
    </w:p>
    <w:p w14:paraId="5B9F6E5F">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（3）本次招标不接受选择性报价。</w:t>
      </w:r>
    </w:p>
    <w:p w14:paraId="0E5A1785">
      <w:pPr>
        <w:widowControl w:val="0"/>
        <w:spacing w:line="360" w:lineRule="auto"/>
        <w:ind w:firstLine="570"/>
        <w:rPr>
          <w:rFonts w:ascii="宋体" w:hAnsi="宋体" w:eastAsia="宋体" w:cs="宋体"/>
          <w:bCs/>
          <w:kern w:val="2"/>
          <w:sz w:val="24"/>
          <w:highlight w:val="none"/>
        </w:rPr>
      </w:pPr>
      <w:r>
        <w:rPr>
          <w:rFonts w:hint="eastAsia" w:ascii="宋体" w:hAnsi="宋体" w:eastAsia="宋体" w:cs="宋体"/>
          <w:bCs/>
          <w:kern w:val="2"/>
          <w:sz w:val="24"/>
          <w:highlight w:val="none"/>
        </w:rPr>
        <w:t>（4）资格后审：在评审时，对磋商供应商的响应文件中资格性、符合性进行审查，确定供应商是否具备投标资格以及是否具备中标资格。</w:t>
      </w:r>
    </w:p>
    <w:p w14:paraId="3144F719">
      <w:pPr>
        <w:widowControl w:val="0"/>
        <w:spacing w:line="360" w:lineRule="auto"/>
        <w:ind w:firstLine="480" w:firstLineChars="200"/>
        <w:jc w:val="both"/>
        <w:rPr>
          <w:rFonts w:ascii="宋体" w:hAnsi="宋体" w:eastAsia="宋体" w:cs="宋体"/>
          <w:sz w:val="24"/>
          <w:highlight w:val="none"/>
        </w:rPr>
      </w:pPr>
      <w:r>
        <w:rPr>
          <w:rFonts w:hint="eastAsia" w:ascii="宋体" w:hAnsi="宋体" w:eastAsia="宋体" w:cs="宋体"/>
          <w:bCs/>
          <w:sz w:val="24"/>
          <w:highlight w:val="none"/>
        </w:rPr>
        <w:t>（5）投标人如未能在承诺时间内提供服务，采购人有权没收其履约保证金作为预定的损害赔偿而非罚款。</w:t>
      </w:r>
      <w:r>
        <w:rPr>
          <w:rFonts w:hint="eastAsia" w:ascii="宋体" w:hAnsi="宋体" w:eastAsia="宋体" w:cs="宋体"/>
          <w:sz w:val="24"/>
          <w:highlight w:val="none"/>
        </w:rPr>
        <w:t> </w:t>
      </w:r>
    </w:p>
    <w:p w14:paraId="3DC8533F">
      <w:pPr>
        <w:widowControl w:val="0"/>
        <w:spacing w:line="360" w:lineRule="auto"/>
        <w:ind w:firstLine="480"/>
        <w:jc w:val="both"/>
        <w:rPr>
          <w:rFonts w:ascii="宋体" w:hAnsi="宋体" w:eastAsia="宋体" w:cs="宋体"/>
          <w:bCs/>
          <w:sz w:val="24"/>
          <w:highlight w:val="none"/>
        </w:rPr>
      </w:pPr>
      <w:r>
        <w:rPr>
          <w:rFonts w:hint="eastAsia" w:ascii="宋体" w:hAnsi="宋体" w:eastAsia="宋体" w:cs="宋体"/>
          <w:bCs/>
          <w:sz w:val="24"/>
          <w:highlight w:val="none"/>
        </w:rPr>
        <w:t>（6）</w:t>
      </w:r>
      <w:r>
        <w:rPr>
          <w:rFonts w:hint="eastAsia" w:ascii="Calibri" w:hAnsi="Calibri" w:eastAsia="宋体" w:cs="Times New Roman"/>
          <w:kern w:val="2"/>
          <w:sz w:val="24"/>
          <w:highlight w:val="none"/>
          <w:shd w:val="clear" w:color="auto" w:fill="FFFFFF"/>
        </w:rPr>
        <w:t>对本项目供应商资格要求、项目需求、评分标准等的质疑由采购单位负责答复；采购单位具有项目的解释权，质疑函和答复须同时报采购代理机构备案管理。</w:t>
      </w:r>
    </w:p>
    <w:p w14:paraId="492E7792">
      <w:pPr>
        <w:widowControl w:val="0"/>
        <w:spacing w:line="360" w:lineRule="auto"/>
        <w:ind w:firstLine="480"/>
        <w:jc w:val="both"/>
        <w:rPr>
          <w:rFonts w:ascii="宋体" w:hAnsi="宋体" w:eastAsia="宋体" w:cs="宋体"/>
          <w:kern w:val="2"/>
          <w:highlight w:val="none"/>
        </w:rPr>
      </w:pPr>
      <w:r>
        <w:rPr>
          <w:rFonts w:hint="eastAsia" w:ascii="宋体" w:hAnsi="宋体" w:eastAsia="宋体" w:cs="宋体"/>
          <w:bCs/>
          <w:sz w:val="24"/>
          <w:highlight w:val="none"/>
        </w:rPr>
        <w:t>（7）中标单位除按相关规定与采购方签订服务合同，必须服从招标方的监管考核。</w:t>
      </w:r>
    </w:p>
    <w:p w14:paraId="29D6494A">
      <w:pPr>
        <w:widowControl w:val="0"/>
        <w:spacing w:line="360" w:lineRule="auto"/>
        <w:rPr>
          <w:rFonts w:ascii="宋体" w:hAnsi="宋体" w:eastAsia="宋体" w:cs="宋体"/>
          <w:b/>
          <w:kern w:val="2"/>
          <w:sz w:val="24"/>
          <w:highlight w:val="none"/>
        </w:rPr>
      </w:pPr>
      <w:r>
        <w:rPr>
          <w:rFonts w:hint="eastAsia" w:ascii="宋体" w:hAnsi="宋体" w:eastAsia="宋体" w:cs="宋体"/>
          <w:b/>
          <w:kern w:val="2"/>
          <w:sz w:val="24"/>
          <w:highlight w:val="none"/>
        </w:rPr>
        <w:t>十、采购标的对应的中小企业划分标准所属行业一览表</w:t>
      </w:r>
    </w:p>
    <w:bookmarkEnd w:id="1"/>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656"/>
        <w:gridCol w:w="3579"/>
      </w:tblGrid>
      <w:tr w14:paraId="3976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7" w:type="dxa"/>
            <w:vAlign w:val="center"/>
          </w:tcPr>
          <w:p w14:paraId="1CC667A3">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序号</w:t>
            </w:r>
          </w:p>
        </w:tc>
        <w:tc>
          <w:tcPr>
            <w:tcW w:w="3656" w:type="dxa"/>
            <w:vAlign w:val="center"/>
          </w:tcPr>
          <w:p w14:paraId="0282A432">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采购标的</w:t>
            </w:r>
          </w:p>
        </w:tc>
        <w:tc>
          <w:tcPr>
            <w:tcW w:w="3579" w:type="dxa"/>
            <w:vAlign w:val="center"/>
          </w:tcPr>
          <w:p w14:paraId="68E1CCAE">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对应中小企业划分标准所属行业</w:t>
            </w:r>
          </w:p>
        </w:tc>
      </w:tr>
      <w:tr w14:paraId="470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27" w:type="dxa"/>
            <w:vAlign w:val="center"/>
          </w:tcPr>
          <w:p w14:paraId="0539C75E">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1</w:t>
            </w:r>
          </w:p>
        </w:tc>
        <w:tc>
          <w:tcPr>
            <w:tcW w:w="3656" w:type="dxa"/>
            <w:vAlign w:val="center"/>
          </w:tcPr>
          <w:p w14:paraId="14A2232A">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盐城经济技术开发区2025年老旧小区改善提升项目</w:t>
            </w:r>
          </w:p>
        </w:tc>
        <w:tc>
          <w:tcPr>
            <w:tcW w:w="3579" w:type="dxa"/>
            <w:vAlign w:val="center"/>
          </w:tcPr>
          <w:p w14:paraId="2B2BB6B6">
            <w:pPr>
              <w:widowControl w:val="0"/>
              <w:spacing w:line="0" w:lineRule="atLeast"/>
              <w:jc w:val="center"/>
              <w:rPr>
                <w:rFonts w:ascii="宋体" w:hAnsi="宋体" w:eastAsia="宋体" w:cs="宋体"/>
                <w:kern w:val="2"/>
                <w:sz w:val="24"/>
                <w:highlight w:val="none"/>
              </w:rPr>
            </w:pPr>
            <w:r>
              <w:rPr>
                <w:rFonts w:hint="eastAsia" w:ascii="宋体" w:hAnsi="宋体" w:eastAsia="宋体" w:cs="宋体"/>
                <w:kern w:val="2"/>
                <w:sz w:val="24"/>
                <w:highlight w:val="none"/>
              </w:rPr>
              <w:t>其他未列明行业</w:t>
            </w:r>
          </w:p>
        </w:tc>
      </w:tr>
    </w:tbl>
    <w:p w14:paraId="1E9B3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A665E"/>
    <w:rsid w:val="6F2A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unhideWhenUsed/>
    <w:qFormat/>
    <w:uiPriority w:val="99"/>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2025-11-26T07:28:00Z</dcterms:created>
  <dc:creator>上山打老虎</dc:creator>
  <cp:lastModifiedBy>上山打老虎</cp:lastModifiedBy>
  <dcterms:modified xsi:type="dcterms:W3CDTF">2025-11-26T07:31:27Z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C86CC638A6894D40884ED8E6229C9D23_11</vt:lpwstr>
  </property>
  <property fmtid="{D5CDD505-2E9C-101B-9397-08002B2CF9AE}" pid="4" name="KSOTemplateDocerSaveRecord">
    <vt:lpwstr>eyJoZGlkIjoiZTc1YTQ3ZjBlMTQ5OWE1NTZhNTJkZWViYjk0YzZlZTAiLCJ1c2VySWQiOiIyNjQ2MzcxMTIifQ==</vt:lpwstr>
  </property>
</Properties>
</file>